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977" w:rsidRPr="00291EFB" w:rsidRDefault="00395977" w:rsidP="00395977">
      <w:pPr>
        <w:spacing w:line="276" w:lineRule="auto"/>
        <w:jc w:val="center"/>
        <w:rPr>
          <w:b/>
        </w:rPr>
      </w:pPr>
      <w:r w:rsidRPr="00291EFB">
        <w:rPr>
          <w:b/>
        </w:rPr>
        <w:t xml:space="preserve">BÖLGESEL KALKINMA ODAKLI </w:t>
      </w:r>
    </w:p>
    <w:p w:rsidR="00395977" w:rsidRPr="00291EFB" w:rsidRDefault="00395977" w:rsidP="0013013E">
      <w:pPr>
        <w:spacing w:line="276" w:lineRule="auto"/>
        <w:jc w:val="center"/>
        <w:rPr>
          <w:b/>
        </w:rPr>
      </w:pPr>
      <w:r w:rsidRPr="00291EFB">
        <w:rPr>
          <w:b/>
        </w:rPr>
        <w:t>İHTİSASLAŞMA PROGRAMININ İŞLEYİŞİNE İLİŞKİN USUL VE ESASLAR</w:t>
      </w:r>
    </w:p>
    <w:p w:rsidR="0013013E" w:rsidRPr="00291EFB" w:rsidRDefault="0013013E" w:rsidP="0013013E">
      <w:pPr>
        <w:spacing w:line="276" w:lineRule="auto"/>
        <w:jc w:val="center"/>
        <w:rPr>
          <w:b/>
        </w:rPr>
      </w:pPr>
    </w:p>
    <w:p w:rsidR="00395977" w:rsidRPr="00291EFB" w:rsidRDefault="00395977" w:rsidP="00395977">
      <w:pPr>
        <w:spacing w:before="240" w:after="240"/>
        <w:jc w:val="center"/>
        <w:rPr>
          <w:b/>
        </w:rPr>
      </w:pPr>
      <w:r w:rsidRPr="00291EFB">
        <w:rPr>
          <w:b/>
        </w:rPr>
        <w:t>BİRİNCİ BÖLÜM</w:t>
      </w:r>
    </w:p>
    <w:p w:rsidR="00395977" w:rsidRPr="00291EFB" w:rsidRDefault="00395977" w:rsidP="00395977">
      <w:pPr>
        <w:spacing w:before="240" w:after="240"/>
        <w:jc w:val="center"/>
        <w:rPr>
          <w:b/>
        </w:rPr>
      </w:pPr>
      <w:r w:rsidRPr="00291EFB">
        <w:rPr>
          <w:b/>
        </w:rPr>
        <w:t>Amaç, Kapsam, Dayanak ve Tanımlar</w:t>
      </w:r>
    </w:p>
    <w:p w:rsidR="00395977" w:rsidRPr="00291EFB" w:rsidRDefault="00395977" w:rsidP="00395977">
      <w:pPr>
        <w:spacing w:before="240" w:after="240"/>
        <w:jc w:val="both"/>
        <w:rPr>
          <w:b/>
        </w:rPr>
      </w:pPr>
      <w:r w:rsidRPr="00291EFB">
        <w:rPr>
          <w:b/>
        </w:rPr>
        <w:t>Amaç ve Kapsam</w:t>
      </w:r>
    </w:p>
    <w:p w:rsidR="00395977" w:rsidRPr="00291EFB" w:rsidRDefault="00395977" w:rsidP="00395977">
      <w:pPr>
        <w:spacing w:before="240" w:after="240"/>
        <w:jc w:val="both"/>
      </w:pPr>
      <w:r w:rsidRPr="00291EFB">
        <w:rPr>
          <w:b/>
        </w:rPr>
        <w:t xml:space="preserve">MADDE 1 </w:t>
      </w:r>
      <w:r w:rsidRPr="00291EFB">
        <w:t>– (1) Bu Usul ve Esaslar, ülkemiz yükseköğretim sisteminde devlet üniversitelerine yönelik hazırlanan Bölgesel Kalkınma Odaklı İhtisaslaşma Programının yürütülmesi sürecindeki başvuru, değerlendirme, destekleme, uygulama</w:t>
      </w:r>
      <w:r w:rsidR="00997789" w:rsidRPr="00291EFB">
        <w:t>,</w:t>
      </w:r>
      <w:r w:rsidRPr="00291EFB">
        <w:t xml:space="preserve"> izleme</w:t>
      </w:r>
      <w:r w:rsidR="00997789" w:rsidRPr="00291EFB">
        <w:t xml:space="preserve"> ve sonlandırma</w:t>
      </w:r>
      <w:r w:rsidRPr="00291EFB">
        <w:t xml:space="preserve"> sürecine ilişkin hususları düzenler.</w:t>
      </w:r>
    </w:p>
    <w:p w:rsidR="00395977" w:rsidRPr="00291EFB" w:rsidRDefault="00395977" w:rsidP="00395977">
      <w:pPr>
        <w:spacing w:before="240" w:after="240"/>
        <w:jc w:val="both"/>
        <w:rPr>
          <w:b/>
        </w:rPr>
      </w:pPr>
      <w:r w:rsidRPr="00291EFB">
        <w:rPr>
          <w:b/>
        </w:rPr>
        <w:t>Dayanak</w:t>
      </w:r>
    </w:p>
    <w:p w:rsidR="00215586" w:rsidRPr="00291EFB" w:rsidRDefault="00395977" w:rsidP="00395977">
      <w:pPr>
        <w:spacing w:before="240" w:after="240"/>
        <w:jc w:val="both"/>
      </w:pPr>
      <w:r w:rsidRPr="00291EFB">
        <w:rPr>
          <w:b/>
        </w:rPr>
        <w:t xml:space="preserve">MADDE 2 </w:t>
      </w:r>
      <w:r w:rsidRPr="00291EFB">
        <w:t xml:space="preserve">– (1) </w:t>
      </w:r>
      <w:r w:rsidR="00FB0C7E" w:rsidRPr="00291EFB">
        <w:t xml:space="preserve">Bu Usul ve Esaslar, </w:t>
      </w:r>
      <w:r w:rsidR="00FB0C7E" w:rsidRPr="00291EFB">
        <w:rPr>
          <w:shd w:val="clear" w:color="auto" w:fill="FFFFFF"/>
        </w:rPr>
        <w:t>4/11/1981 tarihli ve 2547 sayılı Yükseköğretim Kanununun</w:t>
      </w:r>
      <w:r w:rsidR="00FB0C7E" w:rsidRPr="00291EFB">
        <w:rPr>
          <w:b/>
          <w:shd w:val="clear" w:color="auto" w:fill="FFFFFF"/>
        </w:rPr>
        <w:t xml:space="preserve"> </w:t>
      </w:r>
      <w:r w:rsidR="00FB0C7E" w:rsidRPr="00291EFB">
        <w:rPr>
          <w:shd w:val="clear" w:color="auto" w:fill="FFFFFF"/>
        </w:rPr>
        <w:t>“</w:t>
      </w:r>
      <w:r w:rsidR="00FB0C7E" w:rsidRPr="00291EFB">
        <w:rPr>
          <w:b/>
          <w:shd w:val="clear" w:color="auto" w:fill="FFFFFF"/>
        </w:rPr>
        <w:t>Yükseköğretim Kurulunun Görevleri”</w:t>
      </w:r>
      <w:r w:rsidR="00FB0C7E" w:rsidRPr="00291EFB">
        <w:rPr>
          <w:shd w:val="clear" w:color="auto" w:fill="FFFFFF"/>
        </w:rPr>
        <w:t xml:space="preserve"> başlıklı 7 </w:t>
      </w:r>
      <w:r w:rsidR="00EF5A0A" w:rsidRPr="00291EFB">
        <w:rPr>
          <w:shd w:val="clear" w:color="auto" w:fill="FFFFFF"/>
        </w:rPr>
        <w:t>/</w:t>
      </w:r>
      <w:r w:rsidR="00A06D1F" w:rsidRPr="00291EFB">
        <w:rPr>
          <w:shd w:val="clear" w:color="auto" w:fill="FFFFFF"/>
        </w:rPr>
        <w:t>d</w:t>
      </w:r>
      <w:r w:rsidR="00EF5A0A" w:rsidRPr="00291EFB">
        <w:rPr>
          <w:shd w:val="clear" w:color="auto" w:fill="FFFFFF"/>
        </w:rPr>
        <w:t xml:space="preserve"> maddesinin</w:t>
      </w:r>
      <w:r w:rsidR="00A06D1F" w:rsidRPr="00291EFB">
        <w:rPr>
          <w:shd w:val="clear" w:color="auto" w:fill="FFFFFF"/>
        </w:rPr>
        <w:t xml:space="preserve"> </w:t>
      </w:r>
      <w:r w:rsidR="00FB0C7E" w:rsidRPr="00291EFB">
        <w:t>4</w:t>
      </w:r>
      <w:r w:rsidR="00023E74">
        <w:t>’</w:t>
      </w:r>
      <w:r w:rsidR="00FB0C7E" w:rsidRPr="00291EFB">
        <w:t xml:space="preserve"> üncü bendine dayanılarak hazırlanmıştır.</w:t>
      </w:r>
    </w:p>
    <w:p w:rsidR="00395977" w:rsidRPr="00291EFB" w:rsidRDefault="00395977" w:rsidP="00395977">
      <w:pPr>
        <w:spacing w:before="240" w:after="240"/>
        <w:jc w:val="both"/>
        <w:rPr>
          <w:b/>
        </w:rPr>
      </w:pPr>
      <w:r w:rsidRPr="00291EFB">
        <w:rPr>
          <w:b/>
        </w:rPr>
        <w:t xml:space="preserve">Tanımlar </w:t>
      </w:r>
    </w:p>
    <w:p w:rsidR="00395977" w:rsidRPr="00291EFB" w:rsidRDefault="00395977" w:rsidP="00395977">
      <w:pPr>
        <w:spacing w:before="240" w:after="240"/>
        <w:jc w:val="both"/>
      </w:pPr>
      <w:r w:rsidRPr="00291EFB">
        <w:rPr>
          <w:b/>
        </w:rPr>
        <w:t xml:space="preserve">MADDE 3 </w:t>
      </w:r>
      <w:r w:rsidRPr="00291EFB">
        <w:t>– (1) Bu Usul ve Esaslarda geçen;</w:t>
      </w:r>
    </w:p>
    <w:p w:rsidR="006272FC" w:rsidRPr="00291EFB" w:rsidRDefault="006272FC" w:rsidP="00395977">
      <w:pPr>
        <w:spacing w:before="240" w:after="240"/>
        <w:jc w:val="both"/>
      </w:pPr>
      <w:r w:rsidRPr="00291EFB">
        <w:t xml:space="preserve">a) </w:t>
      </w:r>
      <w:r w:rsidRPr="00291EFB">
        <w:rPr>
          <w:b/>
        </w:rPr>
        <w:t>Bakanlık</w:t>
      </w:r>
      <w:r w:rsidRPr="00291EFB">
        <w:t>: Sanayi ve Teknoloji Bakanlığını,</w:t>
      </w:r>
    </w:p>
    <w:p w:rsidR="00395977" w:rsidRPr="00291EFB" w:rsidRDefault="008112CD" w:rsidP="00B70BC6">
      <w:pPr>
        <w:spacing w:before="240" w:after="240"/>
        <w:jc w:val="both"/>
      </w:pPr>
      <w:r w:rsidRPr="00291EFB">
        <w:t>b</w:t>
      </w:r>
      <w:r w:rsidR="00F02839" w:rsidRPr="00291EFB">
        <w:t>)</w:t>
      </w:r>
      <w:r w:rsidR="00B70BC6">
        <w:t xml:space="preserve"> </w:t>
      </w:r>
      <w:r w:rsidR="00395977" w:rsidRPr="00291EFB">
        <w:rPr>
          <w:b/>
        </w:rPr>
        <w:t>Destek Başvuru Formu</w:t>
      </w:r>
      <w:r w:rsidR="00395977" w:rsidRPr="00291EFB">
        <w:t>:</w:t>
      </w:r>
      <w:r w:rsidR="00D05120">
        <w:t xml:space="preserve"> </w:t>
      </w:r>
      <w:r w:rsidR="00395977" w:rsidRPr="00291EFB">
        <w:t xml:space="preserve">Program kapsamına alınan üniversitenin </w:t>
      </w:r>
      <w:r w:rsidR="00023E74">
        <w:t>p</w:t>
      </w:r>
      <w:r w:rsidR="00023E74" w:rsidRPr="00291EFB">
        <w:t xml:space="preserve">rogramın </w:t>
      </w:r>
      <w:r w:rsidR="00395977" w:rsidRPr="00291EFB">
        <w:t>uygulanmasına yönelik hedef ve faaliyetlerini, bunlara ilişkin performans göstergelerini, bütçe tablosunu ve iş takvimini detaylı olarak açıkladığı formu,</w:t>
      </w:r>
    </w:p>
    <w:p w:rsidR="00395977" w:rsidRPr="00291EFB" w:rsidRDefault="008112CD" w:rsidP="00395977">
      <w:pPr>
        <w:spacing w:before="240" w:after="240"/>
        <w:jc w:val="both"/>
      </w:pPr>
      <w:r w:rsidRPr="00291EFB">
        <w:t>c</w:t>
      </w:r>
      <w:r w:rsidR="00395977" w:rsidRPr="00291EFB">
        <w:t>)</w:t>
      </w:r>
      <w:r w:rsidR="00C27DAA" w:rsidRPr="00291EFB">
        <w:t xml:space="preserve"> </w:t>
      </w:r>
      <w:r w:rsidR="00395977" w:rsidRPr="00291EFB">
        <w:rPr>
          <w:b/>
        </w:rPr>
        <w:t>Faaliyet</w:t>
      </w:r>
      <w:r w:rsidR="00395977" w:rsidRPr="00291EFB">
        <w:t>: Program kapsamındaki üniversitenin ihtisaslaşacağı alanla ilgili bölgesel kalkınma odaklı olarak yürüteceği tüm faaliyetleri,</w:t>
      </w:r>
    </w:p>
    <w:p w:rsidR="00215586" w:rsidRPr="00291EFB" w:rsidRDefault="008112CD" w:rsidP="00395977">
      <w:pPr>
        <w:pStyle w:val="ListeParagraf"/>
        <w:tabs>
          <w:tab w:val="left" w:pos="851"/>
        </w:tabs>
        <w:spacing w:before="240" w:after="240"/>
        <w:ind w:left="0"/>
        <w:contextualSpacing w:val="0"/>
        <w:jc w:val="both"/>
      </w:pPr>
      <w:proofErr w:type="gramStart"/>
      <w:r w:rsidRPr="00291EFB">
        <w:t>ç</w:t>
      </w:r>
      <w:proofErr w:type="gramEnd"/>
      <w:r w:rsidR="00395977" w:rsidRPr="00291EFB">
        <w:t>)</w:t>
      </w:r>
      <w:r w:rsidR="00C27DAA" w:rsidRPr="00291EFB">
        <w:t xml:space="preserve"> </w:t>
      </w:r>
      <w:r w:rsidR="00395977" w:rsidRPr="00291EFB">
        <w:rPr>
          <w:b/>
        </w:rPr>
        <w:t>Komisyon</w:t>
      </w:r>
      <w:r w:rsidR="00395977" w:rsidRPr="00291EFB">
        <w:t xml:space="preserve">: Yükseköğretim Kurulu Başkanlığı tarafından oluşturulan </w:t>
      </w:r>
      <w:r w:rsidR="003B0843" w:rsidRPr="00291EFB">
        <w:t xml:space="preserve">ve </w:t>
      </w:r>
      <w:r w:rsidR="00395977" w:rsidRPr="00291EFB" w:rsidDel="00193FF5">
        <w:t xml:space="preserve">Bölgesel Kalkınma Odaklı İhtisaslaşma </w:t>
      </w:r>
      <w:r w:rsidR="00825DD3" w:rsidRPr="00291EFB">
        <w:t>P</w:t>
      </w:r>
      <w:r w:rsidR="003B0843" w:rsidRPr="00291EFB">
        <w:t xml:space="preserve">rogramı kapsamında </w:t>
      </w:r>
      <w:r w:rsidR="006B5578" w:rsidRPr="00291EFB">
        <w:t xml:space="preserve">başvuru yapan üniversiteleri </w:t>
      </w:r>
      <w:r w:rsidR="00D104AA" w:rsidRPr="00291EFB">
        <w:t>belirleyen ve belirlenen</w:t>
      </w:r>
      <w:r w:rsidR="003B0843" w:rsidRPr="00291EFB">
        <w:t xml:space="preserve"> üniversitelerin faaliyetlerini izleyen </w:t>
      </w:r>
      <w:r w:rsidR="00CC18C2" w:rsidRPr="00291EFB">
        <w:t xml:space="preserve">İzleme ve Değerlendirme </w:t>
      </w:r>
      <w:r w:rsidR="00395977" w:rsidRPr="00291EFB" w:rsidDel="00193FF5">
        <w:t>Komisyonu</w:t>
      </w:r>
      <w:r w:rsidR="00F02839" w:rsidRPr="00291EFB">
        <w:t>nu</w:t>
      </w:r>
      <w:r w:rsidR="00215586" w:rsidRPr="00291EFB">
        <w:t>,</w:t>
      </w:r>
    </w:p>
    <w:p w:rsidR="006272FC" w:rsidRPr="00291EFB" w:rsidRDefault="008112CD" w:rsidP="006272FC">
      <w:pPr>
        <w:spacing w:before="240" w:after="240"/>
        <w:jc w:val="both"/>
      </w:pPr>
      <w:r w:rsidRPr="00291EFB">
        <w:t>d</w:t>
      </w:r>
      <w:r w:rsidR="006272FC" w:rsidRPr="00291EFB">
        <w:t xml:space="preserve">) </w:t>
      </w:r>
      <w:r w:rsidR="006272FC" w:rsidRPr="00291EFB">
        <w:rPr>
          <w:b/>
        </w:rPr>
        <w:t>İzleme ve Değerlendirme Raporu</w:t>
      </w:r>
      <w:r w:rsidR="006272FC" w:rsidRPr="00291EFB">
        <w:t>: Program kapsamında üniversitenin her yıl yürüttüğü faaliyetleri, bunlara ilişkin performansını ve bütçesini içerecek şekilde hazırlayarak YÖK’e sunduğu raporu,</w:t>
      </w:r>
    </w:p>
    <w:p w:rsidR="0072316D" w:rsidRPr="00291EFB" w:rsidRDefault="008112CD" w:rsidP="00395977">
      <w:pPr>
        <w:pStyle w:val="ListeParagraf"/>
        <w:tabs>
          <w:tab w:val="left" w:pos="851"/>
        </w:tabs>
        <w:spacing w:before="240" w:after="240"/>
        <w:ind w:left="0"/>
        <w:contextualSpacing w:val="0"/>
        <w:jc w:val="both"/>
      </w:pPr>
      <w:r w:rsidRPr="00291EFB">
        <w:t>e</w:t>
      </w:r>
      <w:r w:rsidR="0072316D" w:rsidRPr="00291EFB">
        <w:t xml:space="preserve">) </w:t>
      </w:r>
      <w:r w:rsidR="0072316D" w:rsidRPr="00291EFB">
        <w:rPr>
          <w:b/>
        </w:rPr>
        <w:t>Niyet Beyanı</w:t>
      </w:r>
      <w:r w:rsidR="0072316D" w:rsidRPr="00291EFB">
        <w:t xml:space="preserve">: </w:t>
      </w:r>
      <w:r w:rsidR="006D166C" w:rsidRPr="00291EFB">
        <w:t xml:space="preserve">Üniversitelerin </w:t>
      </w:r>
      <w:r w:rsidR="00023E74">
        <w:t>p</w:t>
      </w:r>
      <w:r w:rsidR="006D166C" w:rsidRPr="00291EFB">
        <w:t>rograma dahil olma niyetlerini beyan ettikleri belgeyi,</w:t>
      </w:r>
    </w:p>
    <w:p w:rsidR="00395977" w:rsidRPr="00291EFB" w:rsidRDefault="008112CD" w:rsidP="00395977">
      <w:pPr>
        <w:pStyle w:val="ListeParagraf"/>
        <w:tabs>
          <w:tab w:val="left" w:pos="851"/>
        </w:tabs>
        <w:spacing w:before="240" w:after="240"/>
        <w:ind w:left="0"/>
        <w:contextualSpacing w:val="0"/>
        <w:jc w:val="both"/>
      </w:pPr>
      <w:r w:rsidRPr="00291EFB">
        <w:t>f</w:t>
      </w:r>
      <w:r w:rsidR="00395977" w:rsidRPr="00291EFB">
        <w:t xml:space="preserve">) </w:t>
      </w:r>
      <w:r w:rsidR="00395977" w:rsidRPr="00291EFB">
        <w:rPr>
          <w:b/>
        </w:rPr>
        <w:t>Özdeğerlendirme Raporu ve Eylem Planı:</w:t>
      </w:r>
      <w:r w:rsidR="00395977" w:rsidRPr="00291EFB">
        <w:t xml:space="preserve"> Program kapsamına alınacak üniversitelerin belirlenmesi sürecinde ikinci aşama değerlendirmelerin yapılması için programa başvuran aday üniversitelerin hazırlayacağı bölgesel odaklı ihtisaslaşma stratejisi ve eylem planını içeren raporu,</w:t>
      </w:r>
    </w:p>
    <w:p w:rsidR="00395977" w:rsidRPr="00291EFB" w:rsidRDefault="008112CD" w:rsidP="00395977">
      <w:pPr>
        <w:pStyle w:val="ListeParagraf"/>
        <w:tabs>
          <w:tab w:val="left" w:pos="851"/>
        </w:tabs>
        <w:spacing w:before="240" w:after="240"/>
        <w:ind w:left="0"/>
        <w:contextualSpacing w:val="0"/>
        <w:jc w:val="both"/>
      </w:pPr>
      <w:r w:rsidRPr="00291EFB">
        <w:t>g</w:t>
      </w:r>
      <w:r w:rsidR="00395977" w:rsidRPr="00291EFB">
        <w:t xml:space="preserve">) </w:t>
      </w:r>
      <w:r w:rsidR="00395977" w:rsidRPr="00291EFB">
        <w:rPr>
          <w:b/>
        </w:rPr>
        <w:t>Program</w:t>
      </w:r>
      <w:r w:rsidR="00395977" w:rsidRPr="00291EFB">
        <w:t>: Bölgesel Kalkınma Odaklı İhtisaslaşma Programını,</w:t>
      </w:r>
    </w:p>
    <w:p w:rsidR="00395977" w:rsidRPr="00291EFB" w:rsidRDefault="008112CD" w:rsidP="00395977">
      <w:pPr>
        <w:pStyle w:val="ListeParagraf"/>
        <w:tabs>
          <w:tab w:val="left" w:pos="851"/>
        </w:tabs>
        <w:spacing w:before="240" w:after="240"/>
        <w:ind w:left="0"/>
        <w:contextualSpacing w:val="0"/>
        <w:jc w:val="both"/>
      </w:pPr>
      <w:r w:rsidRPr="00291EFB">
        <w:t>h</w:t>
      </w:r>
      <w:r w:rsidR="00395977" w:rsidRPr="00291EFB">
        <w:t>)</w:t>
      </w:r>
      <w:r w:rsidR="00262B60" w:rsidRPr="00291EFB">
        <w:t xml:space="preserve"> </w:t>
      </w:r>
      <w:r w:rsidR="00395977" w:rsidRPr="00291EFB">
        <w:rPr>
          <w:b/>
        </w:rPr>
        <w:t>Program Destek Tutarı</w:t>
      </w:r>
      <w:r w:rsidR="00395977" w:rsidRPr="00291EFB">
        <w:t xml:space="preserve">: </w:t>
      </w:r>
      <w:r w:rsidR="002C6FD2">
        <w:t>Komisyon</w:t>
      </w:r>
      <w:r w:rsidR="00395977" w:rsidRPr="00291EFB">
        <w:t xml:space="preserve"> tarafından belirlenen ve </w:t>
      </w:r>
      <w:r w:rsidR="002C6FD2">
        <w:t>p</w:t>
      </w:r>
      <w:r w:rsidR="00395977" w:rsidRPr="00291EFB">
        <w:t xml:space="preserve">rogram kapsamında </w:t>
      </w:r>
      <w:r w:rsidR="00453BE6" w:rsidRPr="00291EFB">
        <w:t xml:space="preserve">Cumhurbaşkanlığı Strateji ve Bütçe Başkanlığı tarafından </w:t>
      </w:r>
      <w:r w:rsidR="00395977" w:rsidRPr="00291EFB">
        <w:t>üniversiteye aktarılacak destek tutarını,</w:t>
      </w:r>
    </w:p>
    <w:p w:rsidR="006272FC" w:rsidRPr="00291EFB" w:rsidRDefault="008112CD" w:rsidP="00395977">
      <w:pPr>
        <w:pStyle w:val="ListeParagraf"/>
        <w:tabs>
          <w:tab w:val="left" w:pos="851"/>
        </w:tabs>
        <w:spacing w:before="240" w:after="240"/>
        <w:ind w:left="0"/>
        <w:contextualSpacing w:val="0"/>
        <w:jc w:val="both"/>
      </w:pPr>
      <w:r w:rsidRPr="00291EFB">
        <w:t>ı</w:t>
      </w:r>
      <w:r w:rsidR="006272FC" w:rsidRPr="00291EFB">
        <w:t xml:space="preserve">) </w:t>
      </w:r>
      <w:r w:rsidR="006272FC" w:rsidRPr="00291EFB">
        <w:rPr>
          <w:b/>
        </w:rPr>
        <w:t>Program Sorumlusu:</w:t>
      </w:r>
      <w:r w:rsidR="006272FC" w:rsidRPr="00291EFB">
        <w:t xml:space="preserve"> İlgili Üniversitenin Rektörünü,</w:t>
      </w:r>
    </w:p>
    <w:p w:rsidR="006272FC" w:rsidRPr="00291EFB" w:rsidRDefault="008112CD" w:rsidP="006272FC">
      <w:pPr>
        <w:spacing w:before="240" w:after="240"/>
        <w:jc w:val="both"/>
      </w:pPr>
      <w:r w:rsidRPr="00291EFB">
        <w:t>i</w:t>
      </w:r>
      <w:r w:rsidR="006272FC" w:rsidRPr="00291EFB">
        <w:t xml:space="preserve">) </w:t>
      </w:r>
      <w:r w:rsidR="006272FC" w:rsidRPr="00291EFB">
        <w:rPr>
          <w:b/>
        </w:rPr>
        <w:t>SBB</w:t>
      </w:r>
      <w:r w:rsidR="006272FC" w:rsidRPr="00291EFB">
        <w:t>: Cumhurbaşkanlığı Strateji ve Bütçe Başkanlığı’nı</w:t>
      </w:r>
    </w:p>
    <w:p w:rsidR="00395977" w:rsidRPr="00291EFB" w:rsidRDefault="005C090A" w:rsidP="00395977">
      <w:pPr>
        <w:pStyle w:val="ListeParagraf"/>
        <w:tabs>
          <w:tab w:val="left" w:pos="851"/>
        </w:tabs>
        <w:spacing w:before="240" w:after="240"/>
        <w:ind w:left="0"/>
        <w:contextualSpacing w:val="0"/>
        <w:jc w:val="both"/>
      </w:pPr>
      <w:r>
        <w:t>j</w:t>
      </w:r>
      <w:r w:rsidR="00395977" w:rsidRPr="00291EFB">
        <w:t xml:space="preserve">) </w:t>
      </w:r>
      <w:r w:rsidR="00395977" w:rsidRPr="00291EFB">
        <w:rPr>
          <w:b/>
        </w:rPr>
        <w:t>Üniversite</w:t>
      </w:r>
      <w:r w:rsidR="00395977" w:rsidRPr="00291EFB">
        <w:t>: Programın</w:t>
      </w:r>
      <w:r w:rsidR="00C76002" w:rsidRPr="00291EFB">
        <w:t xml:space="preserve"> yürütüldüğü </w:t>
      </w:r>
      <w:r w:rsidR="00395977" w:rsidRPr="00291EFB">
        <w:t>üniversiteyi,</w:t>
      </w:r>
    </w:p>
    <w:p w:rsidR="009A6299" w:rsidRPr="00291EFB" w:rsidRDefault="005C090A" w:rsidP="00395977">
      <w:pPr>
        <w:pStyle w:val="ListeParagraf"/>
        <w:tabs>
          <w:tab w:val="left" w:pos="851"/>
        </w:tabs>
        <w:spacing w:before="240" w:after="240"/>
        <w:ind w:left="0"/>
        <w:contextualSpacing w:val="0"/>
        <w:jc w:val="both"/>
      </w:pPr>
      <w:r>
        <w:t>k</w:t>
      </w:r>
      <w:r w:rsidR="00395977" w:rsidRPr="00291EFB">
        <w:t>)</w:t>
      </w:r>
      <w:r w:rsidR="00872C16" w:rsidRPr="00291EFB">
        <w:t xml:space="preserve"> </w:t>
      </w:r>
      <w:r w:rsidR="00395977" w:rsidRPr="00291EFB">
        <w:rPr>
          <w:b/>
        </w:rPr>
        <w:t>YÖK</w:t>
      </w:r>
      <w:r w:rsidR="00395977" w:rsidRPr="00291EFB">
        <w:t>: Yükseköğretim Kurulu’nu,</w:t>
      </w:r>
    </w:p>
    <w:p w:rsidR="00395977" w:rsidRPr="00291EFB" w:rsidRDefault="005C090A" w:rsidP="00395977">
      <w:pPr>
        <w:spacing w:before="240" w:after="240"/>
        <w:jc w:val="both"/>
      </w:pPr>
      <w:r>
        <w:t>l</w:t>
      </w:r>
      <w:r w:rsidR="00395977" w:rsidRPr="00291EFB">
        <w:t xml:space="preserve">) </w:t>
      </w:r>
      <w:r w:rsidR="00395977" w:rsidRPr="00291EFB">
        <w:rPr>
          <w:b/>
        </w:rPr>
        <w:t>Yürütme Kurulu:</w:t>
      </w:r>
      <w:r w:rsidR="00395977" w:rsidRPr="00291EFB">
        <w:t xml:space="preserve"> Yükseköğretim Yürütme Kurulu’nu,</w:t>
      </w:r>
    </w:p>
    <w:p w:rsidR="00395977" w:rsidRPr="00291EFB" w:rsidRDefault="00395977" w:rsidP="00395977">
      <w:pPr>
        <w:pStyle w:val="ListeParagraf"/>
        <w:tabs>
          <w:tab w:val="left" w:pos="851"/>
        </w:tabs>
        <w:spacing w:before="240" w:after="240"/>
        <w:ind w:left="0"/>
        <w:contextualSpacing w:val="0"/>
        <w:jc w:val="both"/>
      </w:pPr>
      <w:proofErr w:type="gramStart"/>
      <w:r w:rsidRPr="00291EFB">
        <w:t>ifade</w:t>
      </w:r>
      <w:proofErr w:type="gramEnd"/>
      <w:r w:rsidRPr="00291EFB">
        <w:t xml:space="preserve"> eder.</w:t>
      </w:r>
    </w:p>
    <w:p w:rsidR="00395977" w:rsidRPr="00291EFB" w:rsidRDefault="00395977" w:rsidP="00395977">
      <w:pPr>
        <w:pStyle w:val="ListeParagraf"/>
        <w:tabs>
          <w:tab w:val="left" w:pos="851"/>
        </w:tabs>
        <w:spacing w:before="240" w:after="240"/>
        <w:ind w:left="0"/>
        <w:contextualSpacing w:val="0"/>
        <w:jc w:val="both"/>
      </w:pPr>
    </w:p>
    <w:p w:rsidR="00395977" w:rsidRPr="00291EFB" w:rsidRDefault="00395977" w:rsidP="00395977">
      <w:pPr>
        <w:spacing w:before="240" w:after="240"/>
        <w:jc w:val="center"/>
        <w:rPr>
          <w:b/>
        </w:rPr>
      </w:pPr>
      <w:r w:rsidRPr="00291EFB">
        <w:rPr>
          <w:b/>
        </w:rPr>
        <w:t>İKİNCİ BÖLÜM</w:t>
      </w:r>
    </w:p>
    <w:p w:rsidR="002F7EAA" w:rsidRPr="00291EFB" w:rsidRDefault="00395977" w:rsidP="007C5FAD">
      <w:pPr>
        <w:spacing w:before="240" w:after="240"/>
        <w:jc w:val="center"/>
        <w:rPr>
          <w:b/>
        </w:rPr>
      </w:pPr>
      <w:r w:rsidRPr="00291EFB">
        <w:rPr>
          <w:b/>
        </w:rPr>
        <w:t>Bölgesel Kalkınma Odaklı İhtisaslaşma Programı</w:t>
      </w:r>
      <w:r w:rsidR="002F7EAA" w:rsidRPr="00291EFB">
        <w:rPr>
          <w:b/>
        </w:rPr>
        <w:t xml:space="preserve">nın </w:t>
      </w:r>
    </w:p>
    <w:p w:rsidR="00395977" w:rsidRPr="00291EFB" w:rsidRDefault="002F7EAA" w:rsidP="007C5FAD">
      <w:pPr>
        <w:spacing w:before="240" w:after="240"/>
        <w:jc w:val="center"/>
      </w:pPr>
      <w:r w:rsidRPr="00291EFB">
        <w:rPr>
          <w:b/>
        </w:rPr>
        <w:t>Amaç, Kapsam ve Yönetimi</w:t>
      </w:r>
    </w:p>
    <w:p w:rsidR="00395977" w:rsidRPr="00291EFB" w:rsidRDefault="00395977" w:rsidP="00395977">
      <w:pPr>
        <w:spacing w:before="240" w:after="240"/>
        <w:jc w:val="both"/>
        <w:rPr>
          <w:b/>
        </w:rPr>
      </w:pPr>
      <w:r w:rsidRPr="00291EFB">
        <w:rPr>
          <w:b/>
        </w:rPr>
        <w:t>Programın Amacı ve Kapsamı</w:t>
      </w:r>
    </w:p>
    <w:p w:rsidR="00395977" w:rsidRPr="00291EFB" w:rsidRDefault="00395977" w:rsidP="00395977">
      <w:pPr>
        <w:spacing w:before="240" w:after="240"/>
        <w:jc w:val="both"/>
      </w:pPr>
      <w:r w:rsidRPr="00291EFB">
        <w:rPr>
          <w:b/>
        </w:rPr>
        <w:t>MADDE 4</w:t>
      </w:r>
      <w:r w:rsidRPr="00291EFB">
        <w:t xml:space="preserve"> – (1) Bu </w:t>
      </w:r>
      <w:r w:rsidR="006954FB" w:rsidRPr="00291EFB">
        <w:t>p</w:t>
      </w:r>
      <w:r w:rsidRPr="00291EFB">
        <w:t xml:space="preserve">rogram, </w:t>
      </w:r>
      <w:r w:rsidR="004209B8" w:rsidRPr="00291EFB">
        <w:t>yükseköğretim kurumlarının</w:t>
      </w:r>
      <w:r w:rsidR="00272FC5" w:rsidRPr="00291EFB">
        <w:t xml:space="preserve"> </w:t>
      </w:r>
      <w:r w:rsidRPr="00291EFB">
        <w:t>eğitim-öğretim ve araştırma-geliştirme gibi birincil faaliyetlerinin yanı sıra bulunduğu ilin ve bölgenin doğal, ekonomik, ticari, sanayi ve sosyal potansiyelini etkin kullanmasını; yerel ekonomik hayatın</w:t>
      </w:r>
      <w:r w:rsidR="00C76002" w:rsidRPr="00291EFB">
        <w:t xml:space="preserve"> geliştirilmesine</w:t>
      </w:r>
      <w:r w:rsidRPr="00291EFB">
        <w:t xml:space="preserve"> katkı sağlamasını</w:t>
      </w:r>
      <w:r w:rsidR="00E4538A" w:rsidRPr="00291EFB">
        <w:t xml:space="preserve">, bölgesel </w:t>
      </w:r>
      <w:r w:rsidR="00B1570A" w:rsidRPr="00291EFB">
        <w:t xml:space="preserve">yenilik </w:t>
      </w:r>
      <w:r w:rsidR="00E4538A" w:rsidRPr="00291EFB">
        <w:t>kapasitesinin ve girişimciliğin arttırılmasını</w:t>
      </w:r>
      <w:r w:rsidRPr="00291EFB">
        <w:t xml:space="preserve">; bölgenin ihtiyaç duyduğu insan kaynağının yetiştirilmesini ve istihdamın arttırılmasını önceliklendiren yükseköğretim kurumlarının fiziki, beşeri ve mali kaynaklarını planlanma ve yönetme süreçlerindeki misyonlarının değişim ve dönüşümünün YÖK </w:t>
      </w:r>
      <w:r w:rsidR="00E4538A" w:rsidRPr="00291EFB">
        <w:t xml:space="preserve">koordinasyonunda </w:t>
      </w:r>
      <w:r w:rsidRPr="00291EFB">
        <w:t>desteklenmesini amaçlar.</w:t>
      </w:r>
    </w:p>
    <w:p w:rsidR="002D76E3" w:rsidRPr="00291EFB" w:rsidRDefault="00395977" w:rsidP="002D76E3">
      <w:pPr>
        <w:widowControl w:val="0"/>
        <w:autoSpaceDE w:val="0"/>
        <w:autoSpaceDN w:val="0"/>
        <w:jc w:val="both"/>
      </w:pPr>
      <w:r w:rsidRPr="00291EFB">
        <w:t xml:space="preserve">(2) </w:t>
      </w:r>
      <w:r w:rsidR="002D76E3" w:rsidRPr="00291EFB">
        <w:t xml:space="preserve">Bu program, başvurduğu yıl itibariyle </w:t>
      </w:r>
      <w:r w:rsidR="00914B5E" w:rsidRPr="00291EFB">
        <w:t>a</w:t>
      </w:r>
      <w:r w:rsidR="002D76E3" w:rsidRPr="00291EFB">
        <w:t xml:space="preserve">raştırma </w:t>
      </w:r>
      <w:r w:rsidR="00914B5E" w:rsidRPr="00291EFB">
        <w:t>ü</w:t>
      </w:r>
      <w:r w:rsidR="002D76E3" w:rsidRPr="00291EFB">
        <w:t xml:space="preserve">niversitesi olmayan, devlet üniversitelerini kapsar. Vakıf </w:t>
      </w:r>
      <w:r w:rsidR="00914B5E" w:rsidRPr="00291EFB">
        <w:t>ü</w:t>
      </w:r>
      <w:r w:rsidR="002D76E3" w:rsidRPr="00291EFB">
        <w:t>niversiteleri</w:t>
      </w:r>
      <w:r w:rsidR="00914B5E" w:rsidRPr="00291EFB">
        <w:t xml:space="preserve"> ve vakıf meslek yüksekokulları,</w:t>
      </w:r>
      <w:r w:rsidR="002D76E3" w:rsidRPr="00291EFB">
        <w:t xml:space="preserve"> </w:t>
      </w:r>
      <w:r w:rsidR="00914B5E" w:rsidRPr="00291EFB">
        <w:t>t</w:t>
      </w:r>
      <w:r w:rsidR="002D76E3" w:rsidRPr="00291EFB">
        <w:t xml:space="preserve">eknik </w:t>
      </w:r>
      <w:r w:rsidR="00914B5E" w:rsidRPr="00291EFB">
        <w:t>ü</w:t>
      </w:r>
      <w:r w:rsidR="002D76E3" w:rsidRPr="00291EFB">
        <w:t xml:space="preserve">niversiteler, </w:t>
      </w:r>
      <w:r w:rsidR="00914B5E" w:rsidRPr="00291EFB">
        <w:t>u</w:t>
      </w:r>
      <w:r w:rsidR="002D76E3" w:rsidRPr="00291EFB">
        <w:t xml:space="preserve">ygulamalı </w:t>
      </w:r>
      <w:r w:rsidR="00914B5E" w:rsidRPr="00291EFB">
        <w:t>b</w:t>
      </w:r>
      <w:r w:rsidR="002D76E3" w:rsidRPr="00291EFB">
        <w:t xml:space="preserve">ilimler </w:t>
      </w:r>
      <w:r w:rsidR="00914B5E" w:rsidRPr="00291EFB">
        <w:t>ü</w:t>
      </w:r>
      <w:r w:rsidR="002D76E3" w:rsidRPr="00291EFB">
        <w:t>niversiteler</w:t>
      </w:r>
      <w:r w:rsidR="002D76E3" w:rsidRPr="00A77405">
        <w:t>i</w:t>
      </w:r>
      <w:r w:rsidR="002D76E3" w:rsidRPr="00291EFB">
        <w:t xml:space="preserve">, </w:t>
      </w:r>
      <w:r w:rsidR="00914B5E" w:rsidRPr="00291EFB">
        <w:t>s</w:t>
      </w:r>
      <w:r w:rsidR="002D76E3" w:rsidRPr="00291EFB">
        <w:t xml:space="preserve">ağlık </w:t>
      </w:r>
      <w:r w:rsidR="00914B5E" w:rsidRPr="00291EFB">
        <w:t>b</w:t>
      </w:r>
      <w:r w:rsidR="002D76E3" w:rsidRPr="00291EFB">
        <w:t xml:space="preserve">ilimleri </w:t>
      </w:r>
      <w:r w:rsidR="00914B5E" w:rsidRPr="00291EFB">
        <w:t>ü</w:t>
      </w:r>
      <w:r w:rsidR="002D76E3" w:rsidRPr="00291EFB">
        <w:t xml:space="preserve">niversiteleri ve </w:t>
      </w:r>
      <w:r w:rsidR="00914B5E" w:rsidRPr="00291EFB">
        <w:t>g</w:t>
      </w:r>
      <w:r w:rsidR="002D76E3" w:rsidRPr="00291EFB">
        <w:t xml:space="preserve">üzel </w:t>
      </w:r>
      <w:r w:rsidR="00914B5E" w:rsidRPr="00291EFB">
        <w:t>s</w:t>
      </w:r>
      <w:r w:rsidR="002D76E3" w:rsidRPr="00291EFB">
        <w:t xml:space="preserve">anatlar </w:t>
      </w:r>
      <w:r w:rsidR="00914B5E" w:rsidRPr="00291EFB">
        <w:t>ü</w:t>
      </w:r>
      <w:r w:rsidR="002D76E3" w:rsidRPr="00291EFB">
        <w:t xml:space="preserve">niversiteleri programa </w:t>
      </w:r>
      <w:r w:rsidR="00914B5E" w:rsidRPr="00291EFB">
        <w:t>başvuru yapamaz.</w:t>
      </w:r>
    </w:p>
    <w:p w:rsidR="00395977" w:rsidRPr="00291EFB" w:rsidRDefault="00395977" w:rsidP="00395977">
      <w:pPr>
        <w:spacing w:before="240" w:after="240"/>
        <w:rPr>
          <w:b/>
        </w:rPr>
      </w:pPr>
      <w:r w:rsidRPr="00291EFB">
        <w:rPr>
          <w:b/>
        </w:rPr>
        <w:t>Programın Yönetimi</w:t>
      </w:r>
    </w:p>
    <w:p w:rsidR="0013013E" w:rsidRPr="00291EFB" w:rsidRDefault="00395977" w:rsidP="00395977">
      <w:pPr>
        <w:spacing w:before="240" w:after="240"/>
        <w:jc w:val="both"/>
      </w:pPr>
      <w:r w:rsidRPr="00291EFB">
        <w:rPr>
          <w:b/>
        </w:rPr>
        <w:t>MADDE 5</w:t>
      </w:r>
      <w:r w:rsidRPr="00291EFB">
        <w:t xml:space="preserve"> – (1) Bu </w:t>
      </w:r>
      <w:r w:rsidR="000A76F5" w:rsidRPr="00291EFB">
        <w:t>p</w:t>
      </w:r>
      <w:r w:rsidRPr="00291EFB">
        <w:t xml:space="preserve">rogram, </w:t>
      </w:r>
      <w:r w:rsidR="000A76F5" w:rsidRPr="00291EFB">
        <w:t xml:space="preserve">YÖK Başkanlığı, SBB ve Bakanlık </w:t>
      </w:r>
      <w:proofErr w:type="gramStart"/>
      <w:r w:rsidR="000A76F5" w:rsidRPr="00291EFB">
        <w:t>işbirliği</w:t>
      </w:r>
      <w:proofErr w:type="gramEnd"/>
      <w:r w:rsidR="000A76F5" w:rsidRPr="00291EFB">
        <w:t xml:space="preserve"> ile yürütülür. Programın yürütülmesi amacıyla YÖK tarafından İzleme ve Değerlendirme Komisyonu teşkil edilir. Komisyonun sekretarya hizmetleri YÖK tarafından yürütülür.</w:t>
      </w:r>
    </w:p>
    <w:p w:rsidR="0013013E" w:rsidRPr="00291EFB" w:rsidRDefault="0013013E" w:rsidP="00395977">
      <w:pPr>
        <w:spacing w:before="240" w:after="240"/>
        <w:jc w:val="both"/>
      </w:pPr>
    </w:p>
    <w:p w:rsidR="00CE2773" w:rsidRPr="00291EFB" w:rsidRDefault="00CE2773">
      <w:pPr>
        <w:spacing w:after="160" w:line="259" w:lineRule="auto"/>
        <w:rPr>
          <w:b/>
        </w:rPr>
      </w:pPr>
      <w:r w:rsidRPr="00291EFB">
        <w:rPr>
          <w:b/>
        </w:rPr>
        <w:br w:type="page"/>
      </w:r>
    </w:p>
    <w:p w:rsidR="00395977" w:rsidRPr="00291EFB" w:rsidRDefault="00395977" w:rsidP="00395977">
      <w:pPr>
        <w:spacing w:before="240" w:after="240"/>
        <w:jc w:val="center"/>
      </w:pPr>
      <w:r w:rsidRPr="00291EFB">
        <w:rPr>
          <w:b/>
        </w:rPr>
        <w:t>ÜÇÜNCÜ BÖLÜM</w:t>
      </w:r>
    </w:p>
    <w:p w:rsidR="00395977" w:rsidRPr="00291EFB" w:rsidRDefault="00CC18C2" w:rsidP="00395977">
      <w:pPr>
        <w:spacing w:before="240" w:after="240"/>
        <w:jc w:val="center"/>
        <w:rPr>
          <w:b/>
        </w:rPr>
      </w:pPr>
      <w:r w:rsidRPr="00291EFB">
        <w:rPr>
          <w:b/>
        </w:rPr>
        <w:t>İzleme ve Değerlendirme Komisyonu Teşkili</w:t>
      </w:r>
    </w:p>
    <w:p w:rsidR="00395977" w:rsidRPr="00291EFB" w:rsidRDefault="00395977" w:rsidP="00395977">
      <w:pPr>
        <w:spacing w:before="240" w:after="240"/>
        <w:jc w:val="both"/>
      </w:pPr>
      <w:r w:rsidRPr="00291EFB">
        <w:rPr>
          <w:b/>
        </w:rPr>
        <w:t>Komisyonun Teşkili</w:t>
      </w:r>
      <w:r w:rsidRPr="00291EFB">
        <w:tab/>
      </w:r>
    </w:p>
    <w:p w:rsidR="00BE70CD" w:rsidRPr="00291EFB" w:rsidRDefault="00395977" w:rsidP="00587E13">
      <w:pPr>
        <w:spacing w:before="240" w:after="240"/>
        <w:jc w:val="both"/>
      </w:pPr>
      <w:r w:rsidRPr="00291EFB">
        <w:rPr>
          <w:b/>
        </w:rPr>
        <w:t>MADDE 6</w:t>
      </w:r>
      <w:r w:rsidR="00FB1B35" w:rsidRPr="00291EFB">
        <w:t xml:space="preserve"> – </w:t>
      </w:r>
      <w:r w:rsidR="000D0341" w:rsidRPr="00291EFB">
        <w:t xml:space="preserve">(1) İzleme ve Değerlendirme Komisyonu; Yükseköğretim Yürütme Kurulu üyelerinden birinin Başkanlığında, </w:t>
      </w:r>
      <w:proofErr w:type="spellStart"/>
      <w:r w:rsidR="00DC3489" w:rsidRPr="00291EFB">
        <w:t>SBB’den</w:t>
      </w:r>
      <w:proofErr w:type="spellEnd"/>
      <w:r w:rsidR="000D0341" w:rsidRPr="00291EFB">
        <w:t xml:space="preserve"> bir, </w:t>
      </w:r>
      <w:r w:rsidR="00DC3489" w:rsidRPr="00291EFB">
        <w:t>Bakanlıktan</w:t>
      </w:r>
      <w:r w:rsidR="000D0341" w:rsidRPr="00291EFB">
        <w:t xml:space="preserve"> bir ve </w:t>
      </w:r>
      <w:r w:rsidR="00DC3489" w:rsidRPr="00291EFB">
        <w:t>y</w:t>
      </w:r>
      <w:r w:rsidR="000D0341" w:rsidRPr="00291EFB">
        <w:t xml:space="preserve">ükseköğretim </w:t>
      </w:r>
      <w:r w:rsidR="00DC3489" w:rsidRPr="00291EFB">
        <w:t>k</w:t>
      </w:r>
      <w:r w:rsidR="000D0341" w:rsidRPr="00291EFB">
        <w:t xml:space="preserve">urumlarından öğretim üyesi statüsünde </w:t>
      </w:r>
      <w:r w:rsidR="00834798" w:rsidRPr="00291EFB">
        <w:t>iki</w:t>
      </w:r>
      <w:r w:rsidR="00DC3489" w:rsidRPr="00291EFB">
        <w:t xml:space="preserve"> </w:t>
      </w:r>
      <w:r w:rsidR="000D0341" w:rsidRPr="00291EFB">
        <w:t xml:space="preserve">olmak üzere </w:t>
      </w:r>
      <w:r w:rsidR="00D65F3F">
        <w:t xml:space="preserve">beş </w:t>
      </w:r>
      <w:r w:rsidR="000D0341" w:rsidRPr="00291EFB">
        <w:t>kişiden oluşur. Komisyonun kapsamı ve üye sayısı, ihtiyaç dahilinde YÖK Başkanlığı tarafından değiştirilebilir</w:t>
      </w:r>
      <w:r w:rsidR="00BE70CD" w:rsidRPr="00291EFB">
        <w:t xml:space="preserve"> veya</w:t>
      </w:r>
      <w:r w:rsidR="00604EB6" w:rsidRPr="00291EFB">
        <w:t xml:space="preserve"> </w:t>
      </w:r>
      <w:r w:rsidR="000D0341" w:rsidRPr="00291EFB">
        <w:t>arttırılabilir. Komisyon üyeleri, en az daire başkanı statüsünde olmak üzere ilgili Bakanlık</w:t>
      </w:r>
      <w:r w:rsidR="00BE70CD" w:rsidRPr="00291EFB">
        <w:t xml:space="preserve"> veya</w:t>
      </w:r>
      <w:r w:rsidR="00604EB6" w:rsidRPr="00291EFB">
        <w:t xml:space="preserve"> </w:t>
      </w:r>
      <w:r w:rsidR="000D0341" w:rsidRPr="00291EFB">
        <w:t xml:space="preserve">Başkanlık tarafından belirlenir. Yükseköğretim </w:t>
      </w:r>
      <w:r w:rsidR="00DC3489" w:rsidRPr="00291EFB">
        <w:t>k</w:t>
      </w:r>
      <w:r w:rsidR="000D0341" w:rsidRPr="00291EFB">
        <w:t xml:space="preserve">urumlarından seçilecek öğretim üyeleri </w:t>
      </w:r>
      <w:r w:rsidR="00BE70CD" w:rsidRPr="00291EFB">
        <w:t>YÖK</w:t>
      </w:r>
      <w:r w:rsidR="000D0341" w:rsidRPr="00291EFB">
        <w:t xml:space="preserve"> Başkanlığı tarafından belirlenir.</w:t>
      </w:r>
      <w:r w:rsidR="000D0341" w:rsidRPr="00291EFB" w:rsidDel="000D0341">
        <w:t xml:space="preserve"> </w:t>
      </w:r>
    </w:p>
    <w:p w:rsidR="00587E13" w:rsidRPr="00291EFB" w:rsidRDefault="00FB1B35" w:rsidP="00587E13">
      <w:pPr>
        <w:spacing w:before="240" w:after="240"/>
        <w:jc w:val="both"/>
      </w:pPr>
      <w:r w:rsidRPr="00291EFB">
        <w:t>(2</w:t>
      </w:r>
      <w:r w:rsidR="00395977" w:rsidRPr="00291EFB">
        <w:t xml:space="preserve">) </w:t>
      </w:r>
      <w:r w:rsidRPr="00291EFB">
        <w:t xml:space="preserve">Programın genel </w:t>
      </w:r>
      <w:r w:rsidRPr="00291EFB" w:rsidDel="00193FF5">
        <w:t xml:space="preserve">koordinasyonundan </w:t>
      </w:r>
      <w:r w:rsidR="00E57361" w:rsidRPr="00291EFB">
        <w:t xml:space="preserve">sorumlu olan </w:t>
      </w:r>
      <w:r w:rsidR="00BE70CD" w:rsidRPr="00291EFB">
        <w:t>YÖK</w:t>
      </w:r>
      <w:r w:rsidRPr="00291EFB">
        <w:t xml:space="preserve"> Başkanlığı tarafından oluşturulan </w:t>
      </w:r>
      <w:r w:rsidR="006B5578" w:rsidRPr="00291EFB">
        <w:t xml:space="preserve">İzleme ve Değerlendirme </w:t>
      </w:r>
      <w:r w:rsidR="004209B8" w:rsidRPr="00291EFB">
        <w:t>Komisyonu üyelerinin</w:t>
      </w:r>
      <w:r w:rsidRPr="00291EFB">
        <w:t xml:space="preserve"> görev süresi üç yıldır. B</w:t>
      </w:r>
      <w:r w:rsidR="00395977" w:rsidRPr="00291EFB">
        <w:t>u süre, ihtiyaç dahilinde YÖK Başkanlığı tarafından uzatılabilir.</w:t>
      </w:r>
      <w:r w:rsidR="00587E13" w:rsidRPr="00291EFB">
        <w:t xml:space="preserve"> </w:t>
      </w:r>
    </w:p>
    <w:p w:rsidR="00395977" w:rsidRPr="00291EFB" w:rsidRDefault="00395977" w:rsidP="00395977">
      <w:pPr>
        <w:pStyle w:val="ListeParagraf"/>
        <w:spacing w:before="240" w:after="240"/>
        <w:ind w:left="0"/>
        <w:jc w:val="both"/>
        <w:rPr>
          <w:b/>
        </w:rPr>
      </w:pPr>
      <w:r w:rsidRPr="00291EFB">
        <w:rPr>
          <w:b/>
        </w:rPr>
        <w:t>Komisyonun Görevleri</w:t>
      </w:r>
    </w:p>
    <w:p w:rsidR="00395977" w:rsidRPr="00291EFB" w:rsidRDefault="00395977" w:rsidP="00395977">
      <w:pPr>
        <w:spacing w:before="240" w:after="240"/>
        <w:jc w:val="both"/>
      </w:pPr>
      <w:r w:rsidRPr="00291EFB">
        <w:rPr>
          <w:b/>
        </w:rPr>
        <w:t>MADDE 7</w:t>
      </w:r>
      <w:r w:rsidRPr="00291EFB">
        <w:t xml:space="preserve"> – (1) Komisyonun görevleri;</w:t>
      </w:r>
    </w:p>
    <w:p w:rsidR="00395977" w:rsidRPr="00291EFB" w:rsidRDefault="00395977" w:rsidP="00215586">
      <w:pPr>
        <w:pStyle w:val="ListeParagraf"/>
        <w:numPr>
          <w:ilvl w:val="0"/>
          <w:numId w:val="1"/>
        </w:numPr>
        <w:spacing w:before="240" w:after="240"/>
        <w:jc w:val="both"/>
      </w:pPr>
      <w:r w:rsidRPr="00291EFB">
        <w:t>Programın usul ve esaslarını düzenlemek,</w:t>
      </w:r>
    </w:p>
    <w:p w:rsidR="008B24C9" w:rsidRPr="00E06152" w:rsidRDefault="006D166C" w:rsidP="00215586">
      <w:pPr>
        <w:pStyle w:val="ListeParagraf"/>
        <w:numPr>
          <w:ilvl w:val="0"/>
          <w:numId w:val="1"/>
        </w:numPr>
        <w:spacing w:before="240" w:after="240"/>
        <w:jc w:val="both"/>
      </w:pPr>
      <w:r w:rsidRPr="00E06152">
        <w:t>Program</w:t>
      </w:r>
      <w:r w:rsidR="008B24C9" w:rsidRPr="00E06152">
        <w:t>ın işleyiş yöntemini belirlemek ve süreci yönetmek</w:t>
      </w:r>
      <w:r w:rsidR="009A4666" w:rsidRPr="00E06152">
        <w:t>,</w:t>
      </w:r>
    </w:p>
    <w:p w:rsidR="0016761A" w:rsidRPr="00E06152" w:rsidRDefault="00215586" w:rsidP="0016761A">
      <w:pPr>
        <w:pStyle w:val="ListeParagraf"/>
        <w:numPr>
          <w:ilvl w:val="0"/>
          <w:numId w:val="1"/>
        </w:numPr>
        <w:jc w:val="both"/>
      </w:pPr>
      <w:r w:rsidRPr="00E06152">
        <w:t>Ü</w:t>
      </w:r>
      <w:r w:rsidR="00395977" w:rsidRPr="00E06152">
        <w:t>niversitelerin program kapsamına alınması için yapacağı başvuruları değerlendirmek,</w:t>
      </w:r>
    </w:p>
    <w:p w:rsidR="006D166C" w:rsidRPr="00E06152" w:rsidRDefault="0016761A" w:rsidP="0016761A">
      <w:pPr>
        <w:ind w:left="284" w:hanging="284"/>
        <w:jc w:val="both"/>
      </w:pPr>
      <w:r w:rsidRPr="00E06152">
        <w:t>(</w:t>
      </w:r>
      <w:proofErr w:type="gramStart"/>
      <w:r w:rsidRPr="00E06152">
        <w:t>ç</w:t>
      </w:r>
      <w:proofErr w:type="gramEnd"/>
      <w:r w:rsidRPr="00E06152">
        <w:t xml:space="preserve">) </w:t>
      </w:r>
      <w:r w:rsidR="00225002" w:rsidRPr="00E06152">
        <w:t>Program kapsamına alınacak üniversiteleri belirlemek</w:t>
      </w:r>
      <w:r w:rsidR="005650AA" w:rsidRPr="00E06152">
        <w:t xml:space="preserve"> üzere</w:t>
      </w:r>
      <w:r w:rsidR="004209B8" w:rsidRPr="00E06152">
        <w:t xml:space="preserve"> değerlendirme sonuçlarını</w:t>
      </w:r>
      <w:r w:rsidR="005650AA" w:rsidRPr="00E06152">
        <w:t xml:space="preserve"> </w:t>
      </w:r>
      <w:r w:rsidRPr="00E06152">
        <w:t xml:space="preserve">   </w:t>
      </w:r>
      <w:r w:rsidR="005650AA" w:rsidRPr="00E06152">
        <w:t>YÖK Başkanlığı</w:t>
      </w:r>
      <w:r w:rsidR="00F57DB9" w:rsidRPr="00E06152">
        <w:t>’</w:t>
      </w:r>
      <w:r w:rsidR="005650AA" w:rsidRPr="00E06152">
        <w:t>na sunmak</w:t>
      </w:r>
      <w:r w:rsidR="009A4666" w:rsidRPr="00E06152">
        <w:t>,</w:t>
      </w:r>
    </w:p>
    <w:p w:rsidR="006D166C" w:rsidRPr="00E06152" w:rsidRDefault="00395977" w:rsidP="0016761A">
      <w:pPr>
        <w:pStyle w:val="ListeParagraf"/>
        <w:numPr>
          <w:ilvl w:val="0"/>
          <w:numId w:val="1"/>
        </w:numPr>
        <w:jc w:val="both"/>
      </w:pPr>
      <w:r w:rsidRPr="00E06152">
        <w:t>Üniversitel</w:t>
      </w:r>
      <w:r w:rsidR="00C42E19" w:rsidRPr="00E06152">
        <w:t xml:space="preserve">erin hazırlamış olduğu </w:t>
      </w:r>
      <w:r w:rsidR="006D166C" w:rsidRPr="00E06152">
        <w:t xml:space="preserve">belge ve </w:t>
      </w:r>
      <w:r w:rsidRPr="00E06152">
        <w:t>projeleri değerlendirmek ve gerekli durumlarda üniversiteleri yerinde ziyaret etmek,</w:t>
      </w:r>
    </w:p>
    <w:p w:rsidR="006D166C" w:rsidRPr="00E06152" w:rsidRDefault="00395977" w:rsidP="0016761A">
      <w:pPr>
        <w:pStyle w:val="ListeParagraf"/>
        <w:numPr>
          <w:ilvl w:val="0"/>
          <w:numId w:val="1"/>
        </w:numPr>
        <w:jc w:val="both"/>
      </w:pPr>
      <w:r w:rsidRPr="00E06152">
        <w:t>Üniversitelerin her yıl</w:t>
      </w:r>
      <w:r w:rsidR="00215586" w:rsidRPr="00E06152">
        <w:t xml:space="preserve"> </w:t>
      </w:r>
      <w:r w:rsidRPr="00E06152">
        <w:t xml:space="preserve">hazırlayarak </w:t>
      </w:r>
      <w:proofErr w:type="gramStart"/>
      <w:r w:rsidR="00715138" w:rsidRPr="00E06152">
        <w:t>Haziran</w:t>
      </w:r>
      <w:proofErr w:type="gramEnd"/>
      <w:r w:rsidR="00715138" w:rsidRPr="00E06152">
        <w:t xml:space="preserve"> ayı sonuna kadar </w:t>
      </w:r>
      <w:r w:rsidR="007016F7" w:rsidRPr="00E06152">
        <w:t>YÖK Başkanlığı’na</w:t>
      </w:r>
      <w:r w:rsidRPr="00E06152">
        <w:t xml:space="preserve"> sunacağı İzleme ve Değerlendirme Raporlarını destek bütçeleri ile birlikte değerlendirmek</w:t>
      </w:r>
      <w:r w:rsidR="006D166C" w:rsidRPr="00E06152">
        <w:t>,</w:t>
      </w:r>
    </w:p>
    <w:p w:rsidR="006D166C" w:rsidRPr="00E06152" w:rsidRDefault="006D166C" w:rsidP="00215586">
      <w:pPr>
        <w:pStyle w:val="ListeParagraf"/>
        <w:numPr>
          <w:ilvl w:val="0"/>
          <w:numId w:val="1"/>
        </w:numPr>
        <w:spacing w:before="240" w:after="240"/>
        <w:jc w:val="both"/>
      </w:pPr>
      <w:r w:rsidRPr="00E06152">
        <w:t>Üniversitelerin performan</w:t>
      </w:r>
      <w:r w:rsidR="008B24C9" w:rsidRPr="00E06152">
        <w:t>slarını</w:t>
      </w:r>
      <w:r w:rsidRPr="00E06152">
        <w:t xml:space="preserve"> değerlendirmek,</w:t>
      </w:r>
    </w:p>
    <w:p w:rsidR="006D166C" w:rsidRPr="00E06152" w:rsidRDefault="00395977" w:rsidP="005B1C96">
      <w:pPr>
        <w:pStyle w:val="ListeParagraf"/>
        <w:numPr>
          <w:ilvl w:val="0"/>
          <w:numId w:val="1"/>
        </w:numPr>
        <w:jc w:val="both"/>
      </w:pPr>
      <w:r w:rsidRPr="00E06152">
        <w:t xml:space="preserve">Performans değerlendirmesi sonucunda </w:t>
      </w:r>
      <w:r w:rsidR="00715138" w:rsidRPr="00E06152">
        <w:t>gerekli görüldüğü takdirde programı son</w:t>
      </w:r>
      <w:r w:rsidR="007016F7" w:rsidRPr="00E06152">
        <w:t>landırmak için YÖK Başkanlığı’na öneride bulunmak,</w:t>
      </w:r>
      <w:r w:rsidR="00715138" w:rsidRPr="00E06152">
        <w:t xml:space="preserve"> </w:t>
      </w:r>
    </w:p>
    <w:p w:rsidR="005650AA" w:rsidRPr="00E06152" w:rsidRDefault="005B1C96" w:rsidP="005B1C96">
      <w:pPr>
        <w:ind w:left="426" w:hanging="426"/>
        <w:jc w:val="both"/>
      </w:pPr>
      <w:r w:rsidRPr="00E06152">
        <w:t>(</w:t>
      </w:r>
      <w:proofErr w:type="gramStart"/>
      <w:r w:rsidRPr="00E06152">
        <w:t>ğ</w:t>
      </w:r>
      <w:proofErr w:type="gramEnd"/>
      <w:r w:rsidRPr="00E06152">
        <w:t xml:space="preserve">) </w:t>
      </w:r>
      <w:r w:rsidR="00395977" w:rsidRPr="00E06152">
        <w:t xml:space="preserve">Programın yürütüldüğü üniversitelere </w:t>
      </w:r>
      <w:r w:rsidR="005650AA" w:rsidRPr="00E06152">
        <w:t xml:space="preserve">ilişkin izleme ve </w:t>
      </w:r>
      <w:r w:rsidR="003B18DF" w:rsidRPr="00E06152">
        <w:t xml:space="preserve">değerlendirme </w:t>
      </w:r>
      <w:r w:rsidR="005650AA" w:rsidRPr="00E06152">
        <w:t>kriterlerini belirlemek</w:t>
      </w:r>
      <w:r w:rsidR="009A75A7" w:rsidRPr="00E06152">
        <w:t xml:space="preserve"> ve ilgili üniversitelere bildirmek</w:t>
      </w:r>
      <w:r w:rsidR="005650AA" w:rsidRPr="00E06152">
        <w:t>,</w:t>
      </w:r>
    </w:p>
    <w:p w:rsidR="001831CC" w:rsidRPr="00E06152" w:rsidRDefault="00395977" w:rsidP="005B1C96">
      <w:pPr>
        <w:pStyle w:val="ListeParagraf"/>
        <w:numPr>
          <w:ilvl w:val="0"/>
          <w:numId w:val="1"/>
        </w:numPr>
        <w:jc w:val="both"/>
      </w:pPr>
      <w:r w:rsidRPr="00E06152">
        <w:t>Program kapsamında üniversite kapasitesinin geliştirilmesine yönelik katkı sağlamak</w:t>
      </w:r>
      <w:r w:rsidR="001831CC" w:rsidRPr="00E06152">
        <w:t>,</w:t>
      </w:r>
    </w:p>
    <w:p w:rsidR="00395977" w:rsidRPr="00E06152" w:rsidRDefault="005B1C96" w:rsidP="005B1C96">
      <w:pPr>
        <w:jc w:val="both"/>
      </w:pPr>
      <w:r w:rsidRPr="00E06152">
        <w:t xml:space="preserve">(ı) </w:t>
      </w:r>
      <w:r w:rsidR="00395977" w:rsidRPr="00E06152">
        <w:t>Programın işleyişi hakkında YÖK Başkanlığı</w:t>
      </w:r>
      <w:r w:rsidR="007016F7" w:rsidRPr="00E06152">
        <w:t>’</w:t>
      </w:r>
      <w:r w:rsidR="00395977" w:rsidRPr="00E06152">
        <w:t xml:space="preserve">na görüş </w:t>
      </w:r>
      <w:r w:rsidR="007016F7" w:rsidRPr="00E06152">
        <w:t>bildirmek</w:t>
      </w:r>
      <w:r w:rsidR="00395977" w:rsidRPr="00E06152">
        <w:t>.</w:t>
      </w:r>
    </w:p>
    <w:p w:rsidR="005E7A4C" w:rsidRPr="00291EFB" w:rsidRDefault="005E7A4C" w:rsidP="00395977">
      <w:pPr>
        <w:spacing w:before="240" w:after="240"/>
        <w:jc w:val="both"/>
      </w:pPr>
    </w:p>
    <w:p w:rsidR="00395977" w:rsidRPr="00291EFB" w:rsidRDefault="00395977" w:rsidP="00395977">
      <w:pPr>
        <w:spacing w:before="240" w:after="240"/>
        <w:jc w:val="center"/>
        <w:rPr>
          <w:b/>
        </w:rPr>
      </w:pPr>
      <w:r w:rsidRPr="00291EFB">
        <w:rPr>
          <w:b/>
        </w:rPr>
        <w:t>DÖRDÜNCÜ BÖLÜM</w:t>
      </w:r>
    </w:p>
    <w:p w:rsidR="00395977" w:rsidRPr="00291EFB" w:rsidRDefault="005F71B9" w:rsidP="00395977">
      <w:pPr>
        <w:spacing w:before="240" w:after="240"/>
        <w:jc w:val="center"/>
        <w:rPr>
          <w:b/>
        </w:rPr>
      </w:pPr>
      <w:r w:rsidRPr="00291EFB">
        <w:rPr>
          <w:b/>
        </w:rPr>
        <w:t xml:space="preserve">Üniversitelerin </w:t>
      </w:r>
      <w:r w:rsidR="00395977" w:rsidRPr="00291EFB">
        <w:rPr>
          <w:b/>
        </w:rPr>
        <w:t>Programa Başvuru</w:t>
      </w:r>
      <w:r w:rsidRPr="00291EFB">
        <w:rPr>
          <w:b/>
        </w:rPr>
        <w:t>su</w:t>
      </w:r>
      <w:r w:rsidR="00395977" w:rsidRPr="00291EFB">
        <w:rPr>
          <w:b/>
        </w:rPr>
        <w:t xml:space="preserve"> ve Değerlendir</w:t>
      </w:r>
      <w:r w:rsidR="00225002" w:rsidRPr="00291EFB">
        <w:rPr>
          <w:b/>
        </w:rPr>
        <w:t>il</w:t>
      </w:r>
      <w:r w:rsidR="00395977" w:rsidRPr="00291EFB">
        <w:rPr>
          <w:b/>
        </w:rPr>
        <w:t>me</w:t>
      </w:r>
      <w:r w:rsidR="004406C6" w:rsidRPr="00291EFB">
        <w:rPr>
          <w:b/>
        </w:rPr>
        <w:t>si</w:t>
      </w:r>
    </w:p>
    <w:p w:rsidR="00395977" w:rsidRPr="00291EFB" w:rsidRDefault="00395977" w:rsidP="00395977">
      <w:pPr>
        <w:spacing w:before="240" w:after="240"/>
        <w:jc w:val="both"/>
        <w:rPr>
          <w:b/>
        </w:rPr>
      </w:pPr>
      <w:r w:rsidRPr="00291EFB">
        <w:rPr>
          <w:b/>
        </w:rPr>
        <w:t>Başvuru Dönemi ve Şekli</w:t>
      </w:r>
    </w:p>
    <w:p w:rsidR="00395977" w:rsidRPr="00291EFB" w:rsidRDefault="00395977" w:rsidP="00395977">
      <w:pPr>
        <w:spacing w:before="240" w:after="240"/>
        <w:jc w:val="both"/>
      </w:pPr>
      <w:r w:rsidRPr="00291EFB">
        <w:rPr>
          <w:b/>
        </w:rPr>
        <w:t xml:space="preserve">MADDE 8 – </w:t>
      </w:r>
      <w:r w:rsidRPr="00291EFB">
        <w:t>(1)</w:t>
      </w:r>
      <w:r w:rsidRPr="00291EFB">
        <w:rPr>
          <w:b/>
        </w:rPr>
        <w:t xml:space="preserve"> </w:t>
      </w:r>
      <w:r w:rsidRPr="00291EFB">
        <w:t xml:space="preserve">YÖK Başkanlığı, </w:t>
      </w:r>
      <w:r w:rsidR="00C71775" w:rsidRPr="00291EFB">
        <w:t>p</w:t>
      </w:r>
      <w:r w:rsidRPr="00291EFB">
        <w:t>rogram kapsamına alınabilecek üniversiteler</w:t>
      </w:r>
      <w:r w:rsidR="00D83E4A" w:rsidRPr="00291EFB">
        <w:t xml:space="preserve">e yönelik çağrıya çıkar. </w:t>
      </w:r>
      <w:r w:rsidRPr="00291EFB">
        <w:t>Çağrıda; başvuru süreci, istenen bilgi ve belgeler ile son başvuru tarihi belirtilir.</w:t>
      </w:r>
    </w:p>
    <w:p w:rsidR="00395977" w:rsidRPr="00291EFB" w:rsidRDefault="00395977" w:rsidP="00395977">
      <w:pPr>
        <w:spacing w:before="240" w:after="240"/>
        <w:jc w:val="both"/>
      </w:pPr>
      <w:r w:rsidRPr="00291EFB">
        <w:t xml:space="preserve">(2) </w:t>
      </w:r>
      <w:r w:rsidR="00D83E4A" w:rsidRPr="00291EFB">
        <w:t xml:space="preserve">Programa dahil olmak isteyen </w:t>
      </w:r>
      <w:r w:rsidR="00ED6C00" w:rsidRPr="00291EFB">
        <w:t>y</w:t>
      </w:r>
      <w:r w:rsidR="00D83E4A" w:rsidRPr="00291EFB">
        <w:t xml:space="preserve">ükseköğretim </w:t>
      </w:r>
      <w:r w:rsidR="00ED6C00" w:rsidRPr="00291EFB">
        <w:t>k</w:t>
      </w:r>
      <w:r w:rsidR="00D83E4A" w:rsidRPr="00291EFB">
        <w:t xml:space="preserve">urumları, </w:t>
      </w:r>
      <w:r w:rsidRPr="00291EFB">
        <w:t>üniversitenin senatosu tarafından onaylanmış niyet beyanını YÖK Başkanlığı</w:t>
      </w:r>
      <w:r w:rsidR="00EE70CA" w:rsidRPr="00291EFB">
        <w:t>’</w:t>
      </w:r>
      <w:r w:rsidRPr="00291EFB">
        <w:t xml:space="preserve">na </w:t>
      </w:r>
      <w:r w:rsidR="005E7A4C" w:rsidRPr="00291EFB">
        <w:t>sunar.</w:t>
      </w:r>
    </w:p>
    <w:p w:rsidR="00395977" w:rsidRPr="00291EFB" w:rsidRDefault="00395977" w:rsidP="00395977">
      <w:pPr>
        <w:spacing w:before="240" w:after="240"/>
        <w:jc w:val="both"/>
      </w:pPr>
      <w:r w:rsidRPr="00291EFB">
        <w:t xml:space="preserve">(3) Üniversite, </w:t>
      </w:r>
      <w:r w:rsidR="00ED6C00" w:rsidRPr="00291EFB">
        <w:t>p</w:t>
      </w:r>
      <w:r w:rsidRPr="00291EFB">
        <w:t>rogram kapsamında azami üç alan</w:t>
      </w:r>
      <w:r w:rsidR="00772288" w:rsidRPr="00291EFB">
        <w:t>da ihtisaslaşabilir.</w:t>
      </w:r>
    </w:p>
    <w:p w:rsidR="00395977" w:rsidRPr="00291EFB" w:rsidRDefault="00395977" w:rsidP="00395977">
      <w:pPr>
        <w:spacing w:before="240" w:after="240"/>
        <w:jc w:val="both"/>
      </w:pPr>
      <w:r w:rsidRPr="00291EFB">
        <w:t>(4) Program kapsamında aşamalı bir değerlendirme süreci uygulanır.</w:t>
      </w:r>
    </w:p>
    <w:p w:rsidR="00395977" w:rsidRPr="00291EFB" w:rsidRDefault="008F3349" w:rsidP="00395977">
      <w:pPr>
        <w:spacing w:before="240" w:after="240"/>
        <w:jc w:val="both"/>
        <w:rPr>
          <w:b/>
        </w:rPr>
      </w:pPr>
      <w:r w:rsidRPr="00291EFB">
        <w:rPr>
          <w:b/>
        </w:rPr>
        <w:t>Üniversitelerin Ön Başvurularının</w:t>
      </w:r>
      <w:r w:rsidR="00395977" w:rsidRPr="00291EFB">
        <w:rPr>
          <w:b/>
        </w:rPr>
        <w:t xml:space="preserve"> Değerlendirilmesi</w:t>
      </w:r>
    </w:p>
    <w:p w:rsidR="00395977" w:rsidRPr="00291EFB" w:rsidRDefault="00395977" w:rsidP="00395977">
      <w:pPr>
        <w:spacing w:before="240" w:after="240"/>
        <w:jc w:val="both"/>
      </w:pPr>
      <w:r w:rsidRPr="00291EFB">
        <w:rPr>
          <w:b/>
        </w:rPr>
        <w:t>MADDE 9</w:t>
      </w:r>
      <w:r w:rsidRPr="00291EFB">
        <w:t xml:space="preserve"> – (1) İlk aşamada Komisyon, niyet beyanında bulunan üniversitelerin bulundukları illere ait </w:t>
      </w:r>
      <w:proofErr w:type="spellStart"/>
      <w:r w:rsidRPr="00291EFB">
        <w:t>sosyo</w:t>
      </w:r>
      <w:proofErr w:type="spellEnd"/>
      <w:r w:rsidRPr="00291EFB">
        <w:t xml:space="preserve">-ekonomik durumlarını da göz önünde bulundurarak “Bölge Mevcut Durumu ve Potansiyeli”, “Üniversitenin Mevcut Durumu ve Potansiyeli”, “Üniversite ve Bölge İlişkilerinin </w:t>
      </w:r>
      <w:proofErr w:type="spellStart"/>
      <w:r w:rsidRPr="00291EFB">
        <w:t>Durumu”nun</w:t>
      </w:r>
      <w:proofErr w:type="spellEnd"/>
      <w:r w:rsidRPr="00291EFB">
        <w:t xml:space="preserve"> esas alındığı bir değerlendirme yapar ve ikinci aşama değerlendirmeye geçecek olan üniversiteleri belirler. </w:t>
      </w:r>
    </w:p>
    <w:p w:rsidR="00395977" w:rsidRPr="00291EFB" w:rsidRDefault="00772288" w:rsidP="00395977">
      <w:pPr>
        <w:spacing w:before="240" w:after="240"/>
        <w:jc w:val="both"/>
      </w:pPr>
      <w:r w:rsidRPr="00291EFB" w:rsidDel="00772288">
        <w:t xml:space="preserve"> </w:t>
      </w:r>
      <w:r w:rsidR="00395977" w:rsidRPr="00291EFB">
        <w:t xml:space="preserve">(2) YÖK Başkanlığı, ikinci aşama değerlendirmeye geçen üniversiteleri ihtisaslaşacağı alan ile birlikte </w:t>
      </w:r>
      <w:r w:rsidRPr="00291EFB">
        <w:t xml:space="preserve">ilgili </w:t>
      </w:r>
      <w:r w:rsidR="00AB074F" w:rsidRPr="00291EFB">
        <w:t>ü</w:t>
      </w:r>
      <w:r w:rsidRPr="00291EFB">
        <w:t xml:space="preserve">niversitelere </w:t>
      </w:r>
      <w:r w:rsidR="00395977" w:rsidRPr="00291EFB">
        <w:t>duyurur.</w:t>
      </w:r>
    </w:p>
    <w:p w:rsidR="00395977" w:rsidRPr="00291EFB" w:rsidRDefault="008F3349" w:rsidP="00395977">
      <w:pPr>
        <w:spacing w:before="240" w:after="240"/>
        <w:jc w:val="both"/>
        <w:rPr>
          <w:b/>
        </w:rPr>
      </w:pPr>
      <w:r w:rsidRPr="00291EFB">
        <w:rPr>
          <w:b/>
        </w:rPr>
        <w:t>Üniversitelerin Nihai</w:t>
      </w:r>
      <w:r w:rsidR="00395977" w:rsidRPr="00291EFB">
        <w:rPr>
          <w:b/>
        </w:rPr>
        <w:t xml:space="preserve"> Başvuruların</w:t>
      </w:r>
      <w:r w:rsidRPr="00291EFB">
        <w:rPr>
          <w:b/>
        </w:rPr>
        <w:t>ın</w:t>
      </w:r>
      <w:r w:rsidR="00395977" w:rsidRPr="00291EFB">
        <w:rPr>
          <w:b/>
        </w:rPr>
        <w:t xml:space="preserve"> </w:t>
      </w:r>
      <w:r w:rsidR="005E7A4C" w:rsidRPr="00291EFB">
        <w:rPr>
          <w:b/>
        </w:rPr>
        <w:t>Değerlendirilmesi ve Üniversiteler</w:t>
      </w:r>
      <w:r w:rsidR="00395977" w:rsidRPr="00291EFB">
        <w:rPr>
          <w:b/>
        </w:rPr>
        <w:t>in Seçimi</w:t>
      </w:r>
    </w:p>
    <w:p w:rsidR="00395977" w:rsidRPr="00291EFB" w:rsidRDefault="00395977" w:rsidP="00395977">
      <w:pPr>
        <w:spacing w:before="240" w:after="240"/>
        <w:jc w:val="both"/>
        <w:rPr>
          <w:b/>
        </w:rPr>
      </w:pPr>
      <w:r w:rsidRPr="00291EFB">
        <w:rPr>
          <w:b/>
        </w:rPr>
        <w:t xml:space="preserve">MADDE </w:t>
      </w:r>
      <w:proofErr w:type="gramStart"/>
      <w:r w:rsidRPr="00291EFB">
        <w:rPr>
          <w:b/>
        </w:rPr>
        <w:t>10 -</w:t>
      </w:r>
      <w:proofErr w:type="gramEnd"/>
      <w:r w:rsidRPr="00291EFB">
        <w:rPr>
          <w:b/>
        </w:rPr>
        <w:t xml:space="preserve"> </w:t>
      </w:r>
      <w:r w:rsidRPr="00291EFB">
        <w:t xml:space="preserve">(1) Aday </w:t>
      </w:r>
      <w:r w:rsidRPr="00D65F3F">
        <w:t>üniversit</w:t>
      </w:r>
      <w:r w:rsidR="003B18DF" w:rsidRPr="00D65F3F">
        <w:t>e ikinci aşama</w:t>
      </w:r>
      <w:r w:rsidR="00B84AA2" w:rsidRPr="00D65F3F">
        <w:t>da</w:t>
      </w:r>
      <w:r w:rsidR="003B18DF" w:rsidRPr="00D65F3F">
        <w:t xml:space="preserve"> </w:t>
      </w:r>
      <w:proofErr w:type="spellStart"/>
      <w:r w:rsidRPr="00D65F3F">
        <w:t>Özdeğerlendirme</w:t>
      </w:r>
      <w:proofErr w:type="spellEnd"/>
      <w:r w:rsidRPr="00D65F3F">
        <w:t xml:space="preserve"> Raporu hazırlar. Raporun formatı ve kapsamı Komisyon tarafından belirlenir </w:t>
      </w:r>
      <w:r w:rsidRPr="00291EFB">
        <w:t>ve üniversitelere resmi yazı ile bildirilir.</w:t>
      </w:r>
    </w:p>
    <w:p w:rsidR="00395977" w:rsidRPr="00291EFB" w:rsidRDefault="00395977" w:rsidP="00395977">
      <w:pPr>
        <w:spacing w:before="240" w:after="240"/>
        <w:jc w:val="both"/>
      </w:pPr>
      <w:r w:rsidRPr="00291EFB">
        <w:t>(</w:t>
      </w:r>
      <w:r w:rsidR="003B18DF" w:rsidRPr="00291EFB">
        <w:t>2</w:t>
      </w:r>
      <w:r w:rsidRPr="00291EFB">
        <w:t xml:space="preserve">) Raporların değerlendirilme sürecinde, ilgili </w:t>
      </w:r>
      <w:r w:rsidR="00AB074F" w:rsidRPr="00291EFB">
        <w:t>ü</w:t>
      </w:r>
      <w:r w:rsidRPr="00291EFB">
        <w:t>niversitenin Özdeğerlendirme Raporunu görüşmek üzere Komisyon, Rektör ve ilgili ekibi ile YÖK’</w:t>
      </w:r>
      <w:r w:rsidR="00113509" w:rsidRPr="00291EFB">
        <w:t>t</w:t>
      </w:r>
      <w:r w:rsidRPr="00291EFB">
        <w:t xml:space="preserve">e </w:t>
      </w:r>
      <w:r w:rsidRPr="00B70BC6">
        <w:t>ve</w:t>
      </w:r>
      <w:r w:rsidR="00870A53" w:rsidRPr="00B70BC6">
        <w:t>/</w:t>
      </w:r>
      <w:r w:rsidRPr="00B70BC6">
        <w:t xml:space="preserve">veya </w:t>
      </w:r>
      <w:r w:rsidRPr="00291EFB">
        <w:t xml:space="preserve">ilgili üniversitede görüşmeler gerçekleştirebilir. </w:t>
      </w:r>
    </w:p>
    <w:p w:rsidR="00395977" w:rsidRPr="00291EFB" w:rsidRDefault="00395977" w:rsidP="00395977">
      <w:pPr>
        <w:spacing w:before="240" w:after="240"/>
        <w:jc w:val="both"/>
      </w:pPr>
      <w:r w:rsidRPr="00291EFB">
        <w:t>(</w:t>
      </w:r>
      <w:r w:rsidR="003B18DF" w:rsidRPr="00291EFB">
        <w:t>3</w:t>
      </w:r>
      <w:r w:rsidRPr="00291EFB">
        <w:t xml:space="preserve">) </w:t>
      </w:r>
      <w:r w:rsidR="003B18DF" w:rsidRPr="00291EFB">
        <w:t xml:space="preserve">Komisyon </w:t>
      </w:r>
      <w:r w:rsidR="001E64F5" w:rsidRPr="00291EFB">
        <w:t xml:space="preserve">başvuruda bulunan </w:t>
      </w:r>
      <w:r w:rsidR="00AB074F" w:rsidRPr="00291EFB">
        <w:t>ü</w:t>
      </w:r>
      <w:r w:rsidR="001E64F5" w:rsidRPr="00291EFB">
        <w:t xml:space="preserve">niversiteleri başarı sırasına göre </w:t>
      </w:r>
      <w:r w:rsidR="00772288" w:rsidRPr="00291EFB">
        <w:t>YÖK Başkanlığı</w:t>
      </w:r>
      <w:r w:rsidR="00F57DB9">
        <w:t>’</w:t>
      </w:r>
      <w:r w:rsidR="00772288" w:rsidRPr="00291EFB">
        <w:t>na bildirir.</w:t>
      </w:r>
      <w:r w:rsidRPr="00291EFB">
        <w:t xml:space="preserve"> </w:t>
      </w:r>
    </w:p>
    <w:p w:rsidR="00395977" w:rsidRPr="00291EFB" w:rsidRDefault="00772288" w:rsidP="00395977">
      <w:pPr>
        <w:spacing w:before="240" w:after="240"/>
        <w:jc w:val="both"/>
      </w:pPr>
      <w:r w:rsidRPr="00291EFB" w:rsidDel="00772288">
        <w:t xml:space="preserve"> </w:t>
      </w:r>
      <w:r w:rsidR="0013013E" w:rsidRPr="00291EFB">
        <w:t>(4</w:t>
      </w:r>
      <w:r w:rsidR="00395977" w:rsidRPr="00291EFB">
        <w:t xml:space="preserve">) </w:t>
      </w:r>
      <w:r w:rsidR="003B18DF" w:rsidRPr="00291EFB">
        <w:t>YÖK tarafından yapılan değerlendirme sonucunda, s</w:t>
      </w:r>
      <w:r w:rsidR="00395977" w:rsidRPr="00291EFB">
        <w:t>eçilen üniversite</w:t>
      </w:r>
      <w:r w:rsidR="000866A7">
        <w:t>ler ve</w:t>
      </w:r>
      <w:r w:rsidR="003B18DF" w:rsidRPr="00291EFB">
        <w:t xml:space="preserve"> hangi alanda ihtisaslaşaca</w:t>
      </w:r>
      <w:r w:rsidR="000866A7">
        <w:t>kları</w:t>
      </w:r>
      <w:r w:rsidR="003B18DF" w:rsidRPr="00291EFB">
        <w:t xml:space="preserve"> YÖK Başkanlığı tarafından ilgili üniversitelere bildirilir.</w:t>
      </w:r>
    </w:p>
    <w:p w:rsidR="003B18DF" w:rsidRPr="00291EFB" w:rsidRDefault="003B18DF" w:rsidP="00215586">
      <w:pPr>
        <w:spacing w:before="240" w:after="240"/>
        <w:rPr>
          <w:b/>
        </w:rPr>
      </w:pPr>
    </w:p>
    <w:p w:rsidR="00395977" w:rsidRPr="00291EFB" w:rsidRDefault="00395977" w:rsidP="00395977">
      <w:pPr>
        <w:spacing w:before="240" w:after="240"/>
        <w:jc w:val="center"/>
        <w:rPr>
          <w:b/>
        </w:rPr>
      </w:pPr>
      <w:r w:rsidRPr="00291EFB">
        <w:rPr>
          <w:b/>
        </w:rPr>
        <w:t>BEŞİNCİ BÖLÜM</w:t>
      </w:r>
    </w:p>
    <w:p w:rsidR="00395977" w:rsidRPr="00291EFB" w:rsidRDefault="00395977" w:rsidP="005E7A4C">
      <w:pPr>
        <w:spacing w:before="240" w:after="240"/>
        <w:jc w:val="center"/>
        <w:rPr>
          <w:b/>
        </w:rPr>
      </w:pPr>
      <w:r w:rsidRPr="00291EFB">
        <w:rPr>
          <w:b/>
        </w:rPr>
        <w:t>Destek Mekanizması</w:t>
      </w:r>
      <w:r w:rsidR="005E7A4C" w:rsidRPr="00291EFB">
        <w:rPr>
          <w:b/>
        </w:rPr>
        <w:t>, Proje ve Faaliyet</w:t>
      </w:r>
      <w:r w:rsidR="00CC18C2" w:rsidRPr="00291EFB">
        <w:rPr>
          <w:b/>
        </w:rPr>
        <w:t xml:space="preserve"> </w:t>
      </w:r>
      <w:r w:rsidR="009A75A7" w:rsidRPr="00291EFB">
        <w:rPr>
          <w:b/>
        </w:rPr>
        <w:t>Önerilerinin</w:t>
      </w:r>
      <w:r w:rsidR="005E7A4C" w:rsidRPr="00291EFB">
        <w:rPr>
          <w:b/>
        </w:rPr>
        <w:t xml:space="preserve"> Değerlendirilmesi </w:t>
      </w:r>
    </w:p>
    <w:p w:rsidR="00395977" w:rsidRPr="00291EFB" w:rsidRDefault="00395977" w:rsidP="00395977">
      <w:pPr>
        <w:spacing w:before="240" w:after="240"/>
        <w:jc w:val="both"/>
        <w:rPr>
          <w:b/>
        </w:rPr>
      </w:pPr>
      <w:r w:rsidRPr="00291EFB">
        <w:rPr>
          <w:b/>
        </w:rPr>
        <w:t xml:space="preserve">Destek Talebi  </w:t>
      </w:r>
    </w:p>
    <w:p w:rsidR="00395977" w:rsidRPr="00291EFB" w:rsidRDefault="00395977" w:rsidP="00395977">
      <w:pPr>
        <w:spacing w:before="240" w:after="240"/>
        <w:jc w:val="both"/>
      </w:pPr>
      <w:r w:rsidRPr="00291EFB">
        <w:rPr>
          <w:b/>
        </w:rPr>
        <w:t>MADDE 1</w:t>
      </w:r>
      <w:r w:rsidR="00B84AA2" w:rsidRPr="00291EFB">
        <w:rPr>
          <w:b/>
        </w:rPr>
        <w:t>1</w:t>
      </w:r>
      <w:r w:rsidRPr="00291EFB">
        <w:t xml:space="preserve"> – (1) Üniversite, Program kapsamında yıllık olarak yürüteceği faaliyetleri için Destek Başvuru Formunu YÖK Başkanlığı</w:t>
      </w:r>
      <w:r w:rsidR="00F57DB9">
        <w:t>'</w:t>
      </w:r>
      <w:r w:rsidRPr="00291EFB">
        <w:t>na sunar. Destek Başvuru Formu, formatı Komisyon tarafından belirlenen usule uygun bir şekilde</w:t>
      </w:r>
      <w:r w:rsidR="00347ECE">
        <w:t>,</w:t>
      </w:r>
      <w:r w:rsidRPr="00291EFB">
        <w:t xml:space="preserve"> 5 yıllık planlama ve 1 yıllık faaliyet esaslı olarak hazırlanır. </w:t>
      </w:r>
    </w:p>
    <w:p w:rsidR="0019309F" w:rsidRPr="00291EFB" w:rsidRDefault="00395977" w:rsidP="00395977">
      <w:pPr>
        <w:spacing w:before="240" w:after="240"/>
        <w:jc w:val="both"/>
      </w:pPr>
      <w:r w:rsidRPr="00291EFB">
        <w:t>(2) Destek talep edilecek faaliyetlerin üniversitenin ihtisaslaşacağı alanla uyumluluk göstermesi zorunludur.</w:t>
      </w:r>
    </w:p>
    <w:p w:rsidR="0019309F" w:rsidRPr="00291EFB" w:rsidRDefault="00395977" w:rsidP="0019309F">
      <w:pPr>
        <w:spacing w:before="240" w:after="240"/>
        <w:jc w:val="both"/>
      </w:pPr>
      <w:r w:rsidRPr="00291EFB">
        <w:t>(3)</w:t>
      </w:r>
      <w:r w:rsidR="0019309F" w:rsidRPr="00291EFB">
        <w:t xml:space="preserve"> Destek Başvuru Formu, ilgili yılın </w:t>
      </w:r>
      <w:proofErr w:type="gramStart"/>
      <w:r w:rsidR="0019309F" w:rsidRPr="00291EFB">
        <w:t>Haziran</w:t>
      </w:r>
      <w:proofErr w:type="gramEnd"/>
      <w:r w:rsidR="0019309F" w:rsidRPr="00291EFB">
        <w:t xml:space="preserve"> ayının sonuna kadar YÖK </w:t>
      </w:r>
      <w:r w:rsidR="00A1046F">
        <w:t xml:space="preserve">Başkanlığı’na </w:t>
      </w:r>
      <w:r w:rsidR="0019309F" w:rsidRPr="00291EFB">
        <w:t>sunulur.</w:t>
      </w:r>
    </w:p>
    <w:p w:rsidR="0019309F" w:rsidRPr="00291EFB" w:rsidRDefault="0019309F" w:rsidP="00395977">
      <w:pPr>
        <w:spacing w:before="240" w:after="240"/>
        <w:jc w:val="both"/>
      </w:pPr>
      <w:r w:rsidRPr="00291EFB">
        <w:t>(4)</w:t>
      </w:r>
      <w:r w:rsidR="00395977" w:rsidRPr="00291EFB">
        <w:t xml:space="preserve"> </w:t>
      </w:r>
      <w:r w:rsidRPr="00291EFB">
        <w:t xml:space="preserve">Komisyon tarafından önceden belirlenmiş izleme kriterleri doğrultusunda </w:t>
      </w:r>
      <w:r w:rsidR="00F72BF5" w:rsidRPr="00291EFB">
        <w:t>ü</w:t>
      </w:r>
      <w:r w:rsidRPr="00291EFB">
        <w:t xml:space="preserve">niversite yıllık performansı göz önünde bulundurularak </w:t>
      </w:r>
      <w:r w:rsidR="00F72BF5" w:rsidRPr="00291EFB">
        <w:t>ü</w:t>
      </w:r>
      <w:r w:rsidRPr="00291EFB">
        <w:t>niversitenin destek alıp almayacağına karar verilir.</w:t>
      </w:r>
    </w:p>
    <w:p w:rsidR="00B70BC6" w:rsidRDefault="00B70BC6">
      <w:pPr>
        <w:spacing w:after="160" w:line="259" w:lineRule="auto"/>
        <w:rPr>
          <w:b/>
        </w:rPr>
      </w:pPr>
      <w:r>
        <w:rPr>
          <w:b/>
        </w:rPr>
        <w:br w:type="page"/>
      </w:r>
    </w:p>
    <w:p w:rsidR="00395977" w:rsidRPr="00291EFB" w:rsidRDefault="0069357F" w:rsidP="00395977">
      <w:pPr>
        <w:spacing w:before="240" w:after="240"/>
        <w:jc w:val="both"/>
        <w:rPr>
          <w:b/>
        </w:rPr>
      </w:pPr>
      <w:r w:rsidRPr="00291EFB">
        <w:rPr>
          <w:b/>
        </w:rPr>
        <w:t xml:space="preserve">Proje ve </w:t>
      </w:r>
      <w:r w:rsidR="009A75A7" w:rsidRPr="00291EFB">
        <w:rPr>
          <w:b/>
        </w:rPr>
        <w:t>Önerilerin</w:t>
      </w:r>
      <w:r w:rsidR="00CC18C2" w:rsidRPr="00291EFB">
        <w:rPr>
          <w:b/>
        </w:rPr>
        <w:t xml:space="preserve"> </w:t>
      </w:r>
      <w:r w:rsidR="00395977" w:rsidRPr="00291EFB">
        <w:rPr>
          <w:b/>
        </w:rPr>
        <w:t xml:space="preserve">Değerlendirilmesi </w:t>
      </w:r>
    </w:p>
    <w:p w:rsidR="00914B5E" w:rsidRPr="00291EFB" w:rsidRDefault="00395977" w:rsidP="00395977">
      <w:pPr>
        <w:spacing w:before="240" w:after="240"/>
        <w:jc w:val="both"/>
      </w:pPr>
      <w:r w:rsidRPr="00291EFB">
        <w:rPr>
          <w:b/>
        </w:rPr>
        <w:t>MADDE 1</w:t>
      </w:r>
      <w:r w:rsidR="00B84AA2" w:rsidRPr="00291EFB">
        <w:rPr>
          <w:b/>
        </w:rPr>
        <w:t>2</w:t>
      </w:r>
      <w:r w:rsidRPr="00291EFB">
        <w:t xml:space="preserve"> – (1) Komisyon, Destek Başvuru Raporlarını </w:t>
      </w:r>
      <w:r w:rsidR="003B18DF" w:rsidRPr="00291EFB">
        <w:t xml:space="preserve">Eylül </w:t>
      </w:r>
      <w:r w:rsidRPr="00291EFB">
        <w:t>ayının sonuna kadar değerlendirir</w:t>
      </w:r>
      <w:r w:rsidR="00282742" w:rsidRPr="00291EFB">
        <w:t>.</w:t>
      </w:r>
      <w:r w:rsidR="00A6371B" w:rsidRPr="00291EFB">
        <w:t xml:space="preserve"> </w:t>
      </w:r>
      <w:r w:rsidR="00DD6FED" w:rsidRPr="00291EFB">
        <w:t>Değerlendirme sonucu</w:t>
      </w:r>
      <w:r w:rsidR="00914B5E" w:rsidRPr="00291EFB">
        <w:t>nda</w:t>
      </w:r>
      <w:r w:rsidR="00DD6FED" w:rsidRPr="00291EFB">
        <w:t xml:space="preserve"> YÖK Başkanlığı tarafından d</w:t>
      </w:r>
      <w:r w:rsidR="00A6371B" w:rsidRPr="00291EFB">
        <w:t xml:space="preserve">esteklenmesi uygun görülen projeler </w:t>
      </w:r>
      <w:proofErr w:type="spellStart"/>
      <w:r w:rsidR="00A6371B" w:rsidRPr="00291EFB">
        <w:t>SBB’ye</w:t>
      </w:r>
      <w:proofErr w:type="spellEnd"/>
      <w:r w:rsidR="00A6371B" w:rsidRPr="00291EFB">
        <w:t xml:space="preserve"> bildirilir.</w:t>
      </w:r>
      <w:r w:rsidR="00282742" w:rsidRPr="00291EFB">
        <w:t xml:space="preserve"> </w:t>
      </w:r>
    </w:p>
    <w:p w:rsidR="00395977" w:rsidRPr="00291EFB" w:rsidRDefault="00395977" w:rsidP="00395977">
      <w:pPr>
        <w:spacing w:before="240" w:after="240"/>
        <w:jc w:val="both"/>
        <w:rPr>
          <w:b/>
        </w:rPr>
      </w:pPr>
      <w:r w:rsidRPr="00291EFB">
        <w:rPr>
          <w:b/>
        </w:rPr>
        <w:t>Destek Süresi</w:t>
      </w:r>
      <w:r w:rsidR="004D7477" w:rsidRPr="00291EFB">
        <w:rPr>
          <w:b/>
        </w:rPr>
        <w:t>, Miktarı</w:t>
      </w:r>
      <w:r w:rsidRPr="00291EFB">
        <w:rPr>
          <w:b/>
        </w:rPr>
        <w:t xml:space="preserve"> </w:t>
      </w:r>
      <w:r w:rsidR="00F47BF8" w:rsidRPr="00291EFB">
        <w:rPr>
          <w:b/>
        </w:rPr>
        <w:t xml:space="preserve">ve </w:t>
      </w:r>
      <w:r w:rsidR="00F80831" w:rsidRPr="00291EFB">
        <w:rPr>
          <w:b/>
        </w:rPr>
        <w:t>Kapsamı</w:t>
      </w:r>
    </w:p>
    <w:p w:rsidR="00A85FC7" w:rsidRPr="00291EFB" w:rsidRDefault="00395977" w:rsidP="00395977">
      <w:pPr>
        <w:spacing w:before="240" w:after="240"/>
        <w:jc w:val="both"/>
      </w:pPr>
      <w:r w:rsidRPr="00291EFB">
        <w:rPr>
          <w:b/>
        </w:rPr>
        <w:t xml:space="preserve">MADDE </w:t>
      </w:r>
      <w:proofErr w:type="gramStart"/>
      <w:r w:rsidRPr="00291EFB">
        <w:rPr>
          <w:b/>
        </w:rPr>
        <w:t>1</w:t>
      </w:r>
      <w:r w:rsidR="00B84AA2" w:rsidRPr="00291EFB">
        <w:rPr>
          <w:b/>
        </w:rPr>
        <w:t>3</w:t>
      </w:r>
      <w:r w:rsidRPr="00291EFB">
        <w:rPr>
          <w:b/>
        </w:rPr>
        <w:t xml:space="preserve"> -</w:t>
      </w:r>
      <w:proofErr w:type="gramEnd"/>
      <w:r w:rsidRPr="00291EFB">
        <w:rPr>
          <w:b/>
        </w:rPr>
        <w:t xml:space="preserve"> </w:t>
      </w:r>
      <w:r w:rsidRPr="00291EFB">
        <w:t xml:space="preserve">(1) Üniversiteye, </w:t>
      </w:r>
      <w:r w:rsidR="00250DE8" w:rsidRPr="00291EFB">
        <w:t>p</w:t>
      </w:r>
      <w:r w:rsidRPr="00291EFB">
        <w:t xml:space="preserve">rogram kapsamında ihtisaslaşacağı alanda yürüteceği </w:t>
      </w:r>
      <w:r w:rsidR="0069357F" w:rsidRPr="00291EFB">
        <w:t xml:space="preserve">proje ve </w:t>
      </w:r>
      <w:r w:rsidRPr="00291EFB">
        <w:t xml:space="preserve">faaliyetleri için </w:t>
      </w:r>
      <w:r w:rsidR="000A4EC7" w:rsidRPr="00291EFB">
        <w:t xml:space="preserve">SBB tarafından finansal, YÖK tarafından insan kaynağı </w:t>
      </w:r>
      <w:r w:rsidRPr="00291EFB">
        <w:t>deste</w:t>
      </w:r>
      <w:r w:rsidR="000A4EC7" w:rsidRPr="00291EFB">
        <w:t>ği</w:t>
      </w:r>
      <w:r w:rsidRPr="00291EFB">
        <w:t xml:space="preserve"> verilir. </w:t>
      </w:r>
    </w:p>
    <w:p w:rsidR="00395977" w:rsidRPr="00291EFB" w:rsidRDefault="00A85FC7" w:rsidP="00395977">
      <w:pPr>
        <w:spacing w:before="240" w:after="240"/>
        <w:jc w:val="both"/>
      </w:pPr>
      <w:r w:rsidRPr="00291EFB">
        <w:t xml:space="preserve">(2) </w:t>
      </w:r>
      <w:r w:rsidR="00395977" w:rsidRPr="00291EFB">
        <w:t xml:space="preserve">Program kapsamında üniversitenin </w:t>
      </w:r>
      <w:r w:rsidRPr="00291EFB">
        <w:t xml:space="preserve">proje ve </w:t>
      </w:r>
      <w:r w:rsidR="00395977" w:rsidRPr="00291EFB">
        <w:t>faaliyetleri azami 5 yıl süreyle desteklenebilir.</w:t>
      </w:r>
      <w:r w:rsidR="00CC4B32" w:rsidRPr="00291EFB">
        <w:t xml:space="preserve"> Üniversitenin, mevcut ihtisaslaşma alanında yeni bir program sunması durumunda Komisyonu</w:t>
      </w:r>
      <w:r w:rsidR="00EE70CA" w:rsidRPr="00291EFB">
        <w:t>n</w:t>
      </w:r>
      <w:r w:rsidR="00CC4B32" w:rsidRPr="00291EFB">
        <w:t xml:space="preserve"> da görüş ve teklifi üzerine </w:t>
      </w:r>
      <w:r w:rsidR="00576B5B" w:rsidRPr="00291EFB">
        <w:t>YÖK Başkanlığı</w:t>
      </w:r>
      <w:r w:rsidR="00A1046F">
        <w:t>’</w:t>
      </w:r>
      <w:r w:rsidR="00576B5B" w:rsidRPr="00291EFB">
        <w:t xml:space="preserve">nın kararı ile </w:t>
      </w:r>
      <w:r w:rsidR="00CC4B32" w:rsidRPr="00291EFB">
        <w:t>desteğe devam edilebilir.</w:t>
      </w:r>
    </w:p>
    <w:p w:rsidR="00956029" w:rsidRPr="00291EFB" w:rsidRDefault="000E6AB7" w:rsidP="00395977">
      <w:pPr>
        <w:spacing w:before="240" w:after="240"/>
        <w:jc w:val="both"/>
      </w:pPr>
      <w:r w:rsidRPr="00291EFB">
        <w:t>(</w:t>
      </w:r>
      <w:r w:rsidR="0069357F" w:rsidRPr="00291EFB">
        <w:t>3</w:t>
      </w:r>
      <w:r w:rsidRPr="00291EFB">
        <w:t xml:space="preserve">) Üniversitelerin </w:t>
      </w:r>
      <w:r w:rsidR="009931C8">
        <w:t>p</w:t>
      </w:r>
      <w:r w:rsidRPr="00291EFB">
        <w:t>rogram kapsamında ihtisaslaşacağı alanda yürüteceği faaliyetleri için ilgili kamu, özel ve sivil toplum kuruluşları</w:t>
      </w:r>
      <w:r w:rsidR="00D42983" w:rsidRPr="00291EFB">
        <w:t xml:space="preserve"> </w:t>
      </w:r>
      <w:proofErr w:type="gramStart"/>
      <w:r w:rsidRPr="00291EFB">
        <w:t>işbirliğini</w:t>
      </w:r>
      <w:proofErr w:type="gramEnd"/>
      <w:r w:rsidRPr="00291EFB">
        <w:t xml:space="preserve"> geliştiren, bulundukları bölgelerin ekonomik ve sosyal gelişmesini hızlandırmaya, rekabet gücünü ve yenilik kapasitesini artırmaya yönelik proje veya faaliyetleri desteklenir.</w:t>
      </w:r>
    </w:p>
    <w:p w:rsidR="0069357F" w:rsidRPr="00291EFB" w:rsidRDefault="0069357F" w:rsidP="00215586">
      <w:pPr>
        <w:spacing w:before="240" w:after="240"/>
        <w:jc w:val="both"/>
      </w:pPr>
      <w:r w:rsidRPr="00291EFB">
        <w:t>(</w:t>
      </w:r>
      <w:r w:rsidR="004D7477" w:rsidRPr="00291EFB">
        <w:t>4</w:t>
      </w:r>
      <w:r w:rsidRPr="00291EFB">
        <w:t xml:space="preserve">) Destek miktarı, üniversitenin ihtisas alanında yürüteceği faaliyetlerle ilişkili olarak belirlenir. Önerilen faaliyetlerden bölge ile uyumlu olduğu Komisyon tarafından onaylananlar programın bütçesi dahilinde desteklenir. </w:t>
      </w:r>
    </w:p>
    <w:p w:rsidR="00395977" w:rsidRPr="00291EFB" w:rsidRDefault="00395977" w:rsidP="00395977">
      <w:pPr>
        <w:spacing w:before="240" w:after="240"/>
        <w:jc w:val="both"/>
        <w:rPr>
          <w:b/>
        </w:rPr>
      </w:pPr>
      <w:r w:rsidRPr="00291EFB">
        <w:rPr>
          <w:b/>
        </w:rPr>
        <w:t>İzleme ve Performans Değerlendirmesi</w:t>
      </w:r>
    </w:p>
    <w:p w:rsidR="00395977" w:rsidRPr="00291EFB" w:rsidRDefault="00B327FF" w:rsidP="00395977">
      <w:pPr>
        <w:spacing w:before="240" w:after="240"/>
        <w:jc w:val="both"/>
      </w:pPr>
      <w:r w:rsidRPr="00291EFB">
        <w:rPr>
          <w:b/>
        </w:rPr>
        <w:t>MADDE 1</w:t>
      </w:r>
      <w:r w:rsidR="00250DE8" w:rsidRPr="00291EFB">
        <w:rPr>
          <w:b/>
        </w:rPr>
        <w:t>4</w:t>
      </w:r>
      <w:r w:rsidRPr="00291EFB">
        <w:rPr>
          <w:b/>
        </w:rPr>
        <w:t xml:space="preserve"> </w:t>
      </w:r>
      <w:r w:rsidR="00395977" w:rsidRPr="00291EFB">
        <w:t xml:space="preserve">– (1) Üniversitelerin </w:t>
      </w:r>
      <w:r w:rsidR="00505E57">
        <w:t>p</w:t>
      </w:r>
      <w:r w:rsidR="00395977" w:rsidRPr="00291EFB">
        <w:t xml:space="preserve">rogram kapsamında gerçekleştirdiği </w:t>
      </w:r>
      <w:r w:rsidR="00F80831" w:rsidRPr="00291EFB">
        <w:t xml:space="preserve">proje ve </w:t>
      </w:r>
      <w:r w:rsidR="00395977" w:rsidRPr="00291EFB">
        <w:t>faaliyetleri;</w:t>
      </w:r>
      <w:r w:rsidR="00AE7FA6" w:rsidRPr="00291EFB">
        <w:t xml:space="preserve"> </w:t>
      </w:r>
      <w:r w:rsidR="00FA34E2" w:rsidRPr="00291EFB">
        <w:t>izleme ve değerlendirme kriterleri</w:t>
      </w:r>
      <w:r w:rsidR="00315385" w:rsidRPr="00291EFB">
        <w:t xml:space="preserve"> çerçevesinde </w:t>
      </w:r>
      <w:r w:rsidR="00395977" w:rsidRPr="00291EFB">
        <w:t>izlenir.</w:t>
      </w:r>
    </w:p>
    <w:p w:rsidR="00395977" w:rsidRPr="00291EFB" w:rsidRDefault="00395977" w:rsidP="00395977">
      <w:pPr>
        <w:spacing w:before="240" w:after="240"/>
        <w:jc w:val="both"/>
      </w:pPr>
      <w:r w:rsidRPr="00291EFB">
        <w:t xml:space="preserve">(2) Üniversitelerin program kapsamında ihtisaslaşma alanında talep ettiği destek miktarının yanı sıra ihtisaslaşacağı alana yönelik diğer destek mekanizmalarından faydalanması </w:t>
      </w:r>
      <w:r w:rsidR="000E6AB7" w:rsidRPr="00291EFB">
        <w:t xml:space="preserve">da </w:t>
      </w:r>
      <w:r w:rsidRPr="00291EFB">
        <w:t>beklenir. Bir sonraki yılın performans değerlendirme sürecinde bu husus dikkate alınır.</w:t>
      </w:r>
    </w:p>
    <w:p w:rsidR="00FB1B35" w:rsidRPr="00291EFB" w:rsidRDefault="00FB1B35" w:rsidP="00395977">
      <w:pPr>
        <w:spacing w:before="240" w:after="240"/>
        <w:jc w:val="both"/>
      </w:pPr>
    </w:p>
    <w:p w:rsidR="00834945" w:rsidRPr="00291EFB" w:rsidRDefault="00834945" w:rsidP="00834945">
      <w:pPr>
        <w:spacing w:before="240" w:after="240"/>
        <w:jc w:val="center"/>
        <w:rPr>
          <w:b/>
        </w:rPr>
      </w:pPr>
      <w:r w:rsidRPr="00291EFB">
        <w:rPr>
          <w:b/>
        </w:rPr>
        <w:t>ALTINCI BÖLÜM</w:t>
      </w:r>
    </w:p>
    <w:p w:rsidR="00834945" w:rsidRPr="00291EFB" w:rsidRDefault="00834945" w:rsidP="00834945">
      <w:pPr>
        <w:spacing w:before="240" w:after="240"/>
        <w:jc w:val="center"/>
        <w:rPr>
          <w:b/>
        </w:rPr>
      </w:pPr>
      <w:r w:rsidRPr="00291EFB">
        <w:rPr>
          <w:b/>
        </w:rPr>
        <w:t>Proje Bütçesinin Harcama Usulleri ve Mali Denetim</w:t>
      </w:r>
    </w:p>
    <w:p w:rsidR="00834945" w:rsidRPr="00291EFB" w:rsidRDefault="00834945" w:rsidP="00834945">
      <w:pPr>
        <w:spacing w:before="240" w:after="240"/>
        <w:jc w:val="both"/>
        <w:rPr>
          <w:b/>
        </w:rPr>
      </w:pPr>
      <w:r w:rsidRPr="00291EFB">
        <w:rPr>
          <w:b/>
        </w:rPr>
        <w:t>Proje Bütçesi</w:t>
      </w:r>
    </w:p>
    <w:p w:rsidR="00834945" w:rsidRPr="00291EFB" w:rsidRDefault="00834945" w:rsidP="00834945">
      <w:pPr>
        <w:spacing w:after="240"/>
        <w:jc w:val="both"/>
      </w:pPr>
      <w:r w:rsidRPr="00291EFB">
        <w:rPr>
          <w:b/>
        </w:rPr>
        <w:t>MADDE 1</w:t>
      </w:r>
      <w:r w:rsidR="00250DE8" w:rsidRPr="00291EFB">
        <w:rPr>
          <w:b/>
        </w:rPr>
        <w:t>5</w:t>
      </w:r>
      <w:r w:rsidRPr="00291EFB">
        <w:t xml:space="preserve"> – (1) Program kapsamında üniversitelerin ihtisas alanında yürüteceği faaliyetlerin gerçekleştirilmesi ile ilgili olarak ihtiyaç duyulan proje ödenek talepleri ilgili yılın “Yılı Programının Uygulanması, Koordinasyonu ve İzlenmesine Dair </w:t>
      </w:r>
      <w:proofErr w:type="spellStart"/>
      <w:r w:rsidRPr="00291EFB">
        <w:t>Karar”ın</w:t>
      </w:r>
      <w:proofErr w:type="spellEnd"/>
      <w:r w:rsidRPr="00291EFB">
        <w:t xml:space="preserve"> ilgili hükümleri doğrultusunda</w:t>
      </w:r>
      <w:r w:rsidRPr="00B70BC6">
        <w:t xml:space="preserve"> </w:t>
      </w:r>
      <w:r w:rsidR="00347ECE" w:rsidRPr="00B70BC6">
        <w:t xml:space="preserve">SBB </w:t>
      </w:r>
      <w:r w:rsidRPr="00291EFB">
        <w:t>tarafından değerlendirilir.</w:t>
      </w:r>
    </w:p>
    <w:p w:rsidR="00834945" w:rsidRPr="00291EFB" w:rsidRDefault="00834945" w:rsidP="00834945">
      <w:pPr>
        <w:spacing w:before="240" w:after="240"/>
        <w:jc w:val="both"/>
      </w:pPr>
      <w:r w:rsidRPr="00291EFB">
        <w:t xml:space="preserve">(2) 26.11.2016 tarih ve 29900 sayılı </w:t>
      </w:r>
      <w:proofErr w:type="gramStart"/>
      <w:r w:rsidRPr="00291EFB">
        <w:t>Resmi</w:t>
      </w:r>
      <w:proofErr w:type="gramEnd"/>
      <w:r w:rsidRPr="00291EFB">
        <w:t xml:space="preserve"> </w:t>
      </w:r>
      <w:proofErr w:type="spellStart"/>
      <w:r w:rsidRPr="00291EFB">
        <w:t>Gazet</w:t>
      </w:r>
      <w:r w:rsidRPr="00B70BC6">
        <w:t>e</w:t>
      </w:r>
      <w:r w:rsidR="00347ECE" w:rsidRPr="00B70BC6">
        <w:t>’</w:t>
      </w:r>
      <w:r w:rsidRPr="00B70BC6">
        <w:t>d</w:t>
      </w:r>
      <w:r w:rsidRPr="00291EFB">
        <w:t>e</w:t>
      </w:r>
      <w:proofErr w:type="spellEnd"/>
      <w:r w:rsidRPr="00291EFB">
        <w:t xml:space="preserve"> yayımlanan “Bilimsel Araştırma Projeleri Hakkında Yönetmelik” hükümleri dikkate alınarak ödenek kayıt işlemleri ve gider işlemleri ger</w:t>
      </w:r>
      <w:r w:rsidR="008F068B" w:rsidRPr="00291EFB">
        <w:t>ç</w:t>
      </w:r>
      <w:r w:rsidRPr="00291EFB">
        <w:t>ekleştirilir.</w:t>
      </w:r>
    </w:p>
    <w:p w:rsidR="00834945" w:rsidRPr="00291EFB" w:rsidRDefault="00834945" w:rsidP="00834945">
      <w:pPr>
        <w:tabs>
          <w:tab w:val="left" w:pos="2286"/>
        </w:tabs>
        <w:spacing w:line="276" w:lineRule="auto"/>
        <w:jc w:val="both"/>
        <w:rPr>
          <w:b/>
        </w:rPr>
      </w:pPr>
      <w:r w:rsidRPr="00291EFB">
        <w:rPr>
          <w:b/>
        </w:rPr>
        <w:tab/>
      </w:r>
    </w:p>
    <w:p w:rsidR="00B70BC6" w:rsidRDefault="00B70BC6">
      <w:pPr>
        <w:spacing w:after="160" w:line="259" w:lineRule="auto"/>
        <w:rPr>
          <w:b/>
        </w:rPr>
      </w:pPr>
      <w:r>
        <w:rPr>
          <w:b/>
        </w:rPr>
        <w:br w:type="page"/>
      </w:r>
    </w:p>
    <w:p w:rsidR="00834945" w:rsidRPr="00291EFB" w:rsidRDefault="00834945" w:rsidP="00834945">
      <w:pPr>
        <w:spacing w:line="276" w:lineRule="auto"/>
        <w:jc w:val="both"/>
        <w:rPr>
          <w:b/>
        </w:rPr>
      </w:pPr>
      <w:r w:rsidRPr="00291EFB">
        <w:rPr>
          <w:b/>
        </w:rPr>
        <w:t xml:space="preserve">Harcama Belgeleri ve Muhafazası </w:t>
      </w:r>
    </w:p>
    <w:p w:rsidR="00834945" w:rsidRPr="00291EFB" w:rsidRDefault="00834945" w:rsidP="00834945">
      <w:pPr>
        <w:spacing w:line="276" w:lineRule="auto"/>
        <w:jc w:val="both"/>
      </w:pPr>
      <w:r w:rsidRPr="00291EFB">
        <w:rPr>
          <w:b/>
        </w:rPr>
        <w:t>Madde 1</w:t>
      </w:r>
      <w:r w:rsidR="00250DE8" w:rsidRPr="00291EFB">
        <w:rPr>
          <w:b/>
        </w:rPr>
        <w:t>6</w:t>
      </w:r>
      <w:r w:rsidRPr="00291EFB">
        <w:rPr>
          <w:b/>
        </w:rPr>
        <w:t xml:space="preserve"> –</w:t>
      </w:r>
      <w:r w:rsidRPr="00291EFB">
        <w:t xml:space="preserve"> (1) Program kapsamında yapılan harcamaların belgelendirilmesinde </w:t>
      </w:r>
      <w:r w:rsidR="00E97173">
        <w:t>“</w:t>
      </w:r>
      <w:r w:rsidRPr="00291EFB">
        <w:t>Merkezi Yönetim Harcama Belgeleri Yönetmeliği</w:t>
      </w:r>
      <w:r w:rsidR="00E97173">
        <w:t>”</w:t>
      </w:r>
      <w:r w:rsidRPr="00291EFB">
        <w:t xml:space="preserve"> hükümleri kıyasen uygulanır. Program faaliyetleri ile ilgili her türlü işlem ve harcamalara ilişkin belgelerin nüshaları, ilgili yükseköğretim kurumunun program sorumlusu tarafından muhafaza edilir ve denetime hazır halde bulundurulur.</w:t>
      </w:r>
    </w:p>
    <w:p w:rsidR="00834945" w:rsidRPr="00291EFB" w:rsidRDefault="00834945" w:rsidP="00834945">
      <w:pPr>
        <w:spacing w:line="276" w:lineRule="auto"/>
        <w:jc w:val="both"/>
        <w:rPr>
          <w:b/>
          <w:strike/>
        </w:rPr>
      </w:pPr>
    </w:p>
    <w:p w:rsidR="00834945" w:rsidRPr="00291EFB" w:rsidRDefault="00834945" w:rsidP="00834945">
      <w:pPr>
        <w:spacing w:line="276" w:lineRule="auto"/>
        <w:jc w:val="both"/>
        <w:rPr>
          <w:b/>
        </w:rPr>
      </w:pPr>
      <w:r w:rsidRPr="00291EFB">
        <w:rPr>
          <w:b/>
        </w:rPr>
        <w:t xml:space="preserve">Muhasebeleştirme İşlemleri ve Belgeleri </w:t>
      </w:r>
    </w:p>
    <w:p w:rsidR="00834945" w:rsidRPr="00291EFB" w:rsidRDefault="00834945" w:rsidP="00834945">
      <w:pPr>
        <w:spacing w:line="276" w:lineRule="auto"/>
        <w:jc w:val="both"/>
      </w:pPr>
      <w:r w:rsidRPr="00291EFB">
        <w:rPr>
          <w:b/>
        </w:rPr>
        <w:t>MADDE 1</w:t>
      </w:r>
      <w:r w:rsidR="00250DE8" w:rsidRPr="00291EFB">
        <w:rPr>
          <w:b/>
        </w:rPr>
        <w:t>7</w:t>
      </w:r>
      <w:r w:rsidRPr="00291EFB">
        <w:rPr>
          <w:b/>
        </w:rPr>
        <w:t xml:space="preserve"> –</w:t>
      </w:r>
      <w:r w:rsidRPr="00291EFB">
        <w:t xml:space="preserve"> (1) Yapılan tüm harcamalarda 17.10.2017 tarih ve 30213 sayılı </w:t>
      </w:r>
      <w:proofErr w:type="gramStart"/>
      <w:r w:rsidRPr="00291EFB">
        <w:t>Resmi</w:t>
      </w:r>
      <w:proofErr w:type="gramEnd"/>
      <w:r w:rsidRPr="00291EFB">
        <w:t xml:space="preserve"> </w:t>
      </w:r>
      <w:proofErr w:type="spellStart"/>
      <w:r w:rsidRPr="00291EFB">
        <w:t>Gazet</w:t>
      </w:r>
      <w:r w:rsidRPr="00B70BC6">
        <w:t>e</w:t>
      </w:r>
      <w:r w:rsidR="00347ECE" w:rsidRPr="00B70BC6">
        <w:t>’</w:t>
      </w:r>
      <w:r w:rsidRPr="00B70BC6">
        <w:t>d</w:t>
      </w:r>
      <w:r w:rsidRPr="00291EFB">
        <w:t>e</w:t>
      </w:r>
      <w:proofErr w:type="spellEnd"/>
      <w:r w:rsidRPr="00291EFB">
        <w:t xml:space="preserve"> yayımlanan “Kamu İdarelerine Ait Özel Hesaplara İlişkin İşlemlerin Muhasebeleştirilmesine Dair Yönetmelik” hükümleri uygulanır.</w:t>
      </w:r>
    </w:p>
    <w:p w:rsidR="00834945" w:rsidRPr="00291EFB" w:rsidRDefault="00834945" w:rsidP="00834945">
      <w:pPr>
        <w:spacing w:line="276" w:lineRule="auto"/>
        <w:jc w:val="both"/>
      </w:pPr>
      <w:r w:rsidRPr="00291EFB">
        <w:t xml:space="preserve">(2) Muhasebeleştirme belgelerinin ekine harcama belgelerinin asılları eklenir. Harcamalara ilişkin belgeler </w:t>
      </w:r>
      <w:r w:rsidR="00343842">
        <w:t>y</w:t>
      </w:r>
      <w:r w:rsidRPr="00291EFB">
        <w:t>ükseköğretim kurumunda genel hükümlere göre muhafaza edilir ve denetime hazır halde bulundurulur.</w:t>
      </w:r>
    </w:p>
    <w:p w:rsidR="00834945" w:rsidRPr="00291EFB" w:rsidRDefault="00834945" w:rsidP="00834945">
      <w:pPr>
        <w:spacing w:before="240" w:after="240"/>
        <w:jc w:val="both"/>
        <w:rPr>
          <w:b/>
        </w:rPr>
      </w:pPr>
      <w:r w:rsidRPr="00291EFB">
        <w:rPr>
          <w:b/>
        </w:rPr>
        <w:t>Sorumluluk</w:t>
      </w:r>
    </w:p>
    <w:p w:rsidR="00834945" w:rsidRPr="00291EFB" w:rsidRDefault="00834945" w:rsidP="00834945">
      <w:pPr>
        <w:spacing w:before="240" w:after="240"/>
        <w:jc w:val="both"/>
      </w:pPr>
      <w:r w:rsidRPr="00291EFB">
        <w:rPr>
          <w:b/>
        </w:rPr>
        <w:t xml:space="preserve">Madde </w:t>
      </w:r>
      <w:r w:rsidR="00250DE8" w:rsidRPr="00291EFB">
        <w:rPr>
          <w:b/>
        </w:rPr>
        <w:t>18</w:t>
      </w:r>
      <w:r w:rsidRPr="00291EFB">
        <w:t xml:space="preserve"> – (1) İlgili </w:t>
      </w:r>
      <w:r w:rsidR="00343842">
        <w:t>y</w:t>
      </w:r>
      <w:r w:rsidRPr="00291EFB">
        <w:t xml:space="preserve">ükseköğretim </w:t>
      </w:r>
      <w:r w:rsidR="00343842">
        <w:t>k</w:t>
      </w:r>
      <w:r w:rsidRPr="00291EFB">
        <w:t>urumu harcamaların mevzuata ve program amaçlarına uygun, etkin ve verimli olarak kullanılmasından, ilgili kamu idarelerine ve YÖK’e karşı sorumludur.</w:t>
      </w:r>
    </w:p>
    <w:p w:rsidR="00834945" w:rsidRPr="00291EFB" w:rsidRDefault="00834945" w:rsidP="00834945">
      <w:pPr>
        <w:spacing w:before="240" w:after="240"/>
        <w:jc w:val="both"/>
        <w:rPr>
          <w:b/>
        </w:rPr>
      </w:pPr>
      <w:r w:rsidRPr="00291EFB">
        <w:rPr>
          <w:b/>
        </w:rPr>
        <w:t>Mali Denetim</w:t>
      </w:r>
    </w:p>
    <w:p w:rsidR="00834945" w:rsidRPr="00291EFB" w:rsidRDefault="00834945" w:rsidP="00834945">
      <w:pPr>
        <w:spacing w:before="240" w:after="240"/>
        <w:jc w:val="both"/>
      </w:pPr>
      <w:r w:rsidRPr="00291EFB">
        <w:rPr>
          <w:b/>
        </w:rPr>
        <w:t xml:space="preserve">Madde </w:t>
      </w:r>
      <w:r w:rsidR="00250DE8" w:rsidRPr="00291EFB">
        <w:rPr>
          <w:b/>
        </w:rPr>
        <w:t>19</w:t>
      </w:r>
      <w:r w:rsidRPr="00291EFB">
        <w:t xml:space="preserve"> – (1) Bu Usul ve Esaslar kapsamında yapılan harcamalar, 5018 sayılı </w:t>
      </w:r>
      <w:r w:rsidR="00343842">
        <w:t>“</w:t>
      </w:r>
      <w:r w:rsidRPr="00291EFB">
        <w:t>Kamu Mali Yönetimi ve Kontrol Kanununa</w:t>
      </w:r>
      <w:r w:rsidR="00343842">
        <w:t>”</w:t>
      </w:r>
      <w:r w:rsidRPr="00291EFB">
        <w:t xml:space="preserve"> göre denetlenir. Programın uygulanmasına ilişkin olarak yükseköğretim kurumunca yapılan iç denetim sonucunda bu Usul ve Esaslara aykırılık teşkil eden bir hususun tespiti halinde bu durum ilgili yükseköğretim kurumu tarafından YÖK'e iletilir. Programın yükseköğretim kurumlarındaki uygulamaları gerek görülmesi halinde ayrıca YÖK tarafından denetlenebilir. Program faaliyetlerinde suç teşkil eden fiillerin tespiti halinde görevliler hakkında ilgili yükseköğretim kurumu tarafından genel hükümlere göre işlem yapılır.</w:t>
      </w:r>
    </w:p>
    <w:p w:rsidR="00834945" w:rsidRPr="00291EFB" w:rsidRDefault="00834945" w:rsidP="00757B81">
      <w:pPr>
        <w:spacing w:before="240" w:after="240"/>
        <w:rPr>
          <w:b/>
        </w:rPr>
      </w:pPr>
    </w:p>
    <w:p w:rsidR="00834945" w:rsidRPr="00291EFB" w:rsidRDefault="00834945" w:rsidP="00834945">
      <w:pPr>
        <w:spacing w:before="240" w:after="240"/>
        <w:jc w:val="center"/>
        <w:rPr>
          <w:b/>
        </w:rPr>
      </w:pPr>
      <w:r w:rsidRPr="00291EFB">
        <w:rPr>
          <w:b/>
        </w:rPr>
        <w:t>YEDİNCİ BÖLÜM</w:t>
      </w:r>
    </w:p>
    <w:p w:rsidR="00834945" w:rsidRPr="00291EFB" w:rsidRDefault="00834945" w:rsidP="00834945">
      <w:pPr>
        <w:spacing w:before="240" w:after="240"/>
        <w:jc w:val="center"/>
        <w:rPr>
          <w:b/>
        </w:rPr>
      </w:pPr>
      <w:r w:rsidRPr="00291EFB">
        <w:rPr>
          <w:b/>
        </w:rPr>
        <w:t>Çeşitli ve Son Hükümler</w:t>
      </w:r>
    </w:p>
    <w:p w:rsidR="00834945" w:rsidRPr="00291EFB" w:rsidRDefault="00834945" w:rsidP="00834945">
      <w:pPr>
        <w:spacing w:before="240" w:after="240"/>
        <w:rPr>
          <w:b/>
        </w:rPr>
      </w:pPr>
      <w:r w:rsidRPr="00291EFB">
        <w:rPr>
          <w:b/>
        </w:rPr>
        <w:t xml:space="preserve">Hüküm Bulunmayan Haller </w:t>
      </w:r>
    </w:p>
    <w:p w:rsidR="00834945" w:rsidRPr="00291EFB" w:rsidRDefault="00834945" w:rsidP="00834945">
      <w:pPr>
        <w:spacing w:before="240" w:after="240"/>
        <w:jc w:val="both"/>
      </w:pPr>
      <w:r w:rsidRPr="00291EFB">
        <w:rPr>
          <w:b/>
        </w:rPr>
        <w:t>MADDE 2</w:t>
      </w:r>
      <w:r w:rsidR="00250DE8" w:rsidRPr="00291EFB">
        <w:rPr>
          <w:b/>
        </w:rPr>
        <w:t>0</w:t>
      </w:r>
      <w:r w:rsidRPr="00291EFB">
        <w:t xml:space="preserve"> – (1) Bu Usul ve Esaslarda hüküm bulunmayan durumlarda ilgili mevzuat hükümleri uygulanır.</w:t>
      </w:r>
    </w:p>
    <w:p w:rsidR="00834945" w:rsidRPr="00291EFB" w:rsidRDefault="00834945" w:rsidP="00834945">
      <w:pPr>
        <w:spacing w:before="240" w:after="240"/>
        <w:rPr>
          <w:b/>
        </w:rPr>
      </w:pPr>
      <w:r w:rsidRPr="00291EFB">
        <w:rPr>
          <w:b/>
        </w:rPr>
        <w:t xml:space="preserve">Yürürlük </w:t>
      </w:r>
    </w:p>
    <w:p w:rsidR="00834945" w:rsidRPr="00291EFB" w:rsidRDefault="00834945" w:rsidP="00834945">
      <w:pPr>
        <w:spacing w:before="240" w:after="240"/>
        <w:jc w:val="both"/>
      </w:pPr>
      <w:r w:rsidRPr="00291EFB">
        <w:rPr>
          <w:b/>
        </w:rPr>
        <w:t>MADDE 2</w:t>
      </w:r>
      <w:r w:rsidR="00250DE8" w:rsidRPr="00291EFB">
        <w:rPr>
          <w:b/>
        </w:rPr>
        <w:t>1</w:t>
      </w:r>
      <w:r w:rsidRPr="00291EFB">
        <w:t xml:space="preserve"> – (1) Bu Usul ve Esaslar, 01.01.2019 tarihinden itibaren geçerli olmak üzere Yükseköğretim Kurulu tarafından onaylandığı tarihte yürürlüğe girer. </w:t>
      </w:r>
    </w:p>
    <w:p w:rsidR="00834945" w:rsidRPr="00291EFB" w:rsidRDefault="00834945" w:rsidP="00834945">
      <w:pPr>
        <w:spacing w:before="240" w:after="240"/>
        <w:jc w:val="both"/>
        <w:rPr>
          <w:b/>
        </w:rPr>
      </w:pPr>
      <w:r w:rsidRPr="00291EFB">
        <w:rPr>
          <w:b/>
        </w:rPr>
        <w:t xml:space="preserve">Yürütme </w:t>
      </w:r>
    </w:p>
    <w:p w:rsidR="00D42983" w:rsidRPr="002D76E3" w:rsidRDefault="00834945" w:rsidP="00B70BC6">
      <w:pPr>
        <w:spacing w:before="240" w:after="240"/>
        <w:rPr>
          <w:b/>
        </w:rPr>
      </w:pPr>
      <w:r w:rsidRPr="00291EFB">
        <w:rPr>
          <w:b/>
        </w:rPr>
        <w:t>MADDE 2</w:t>
      </w:r>
      <w:r w:rsidR="00250DE8" w:rsidRPr="00291EFB">
        <w:rPr>
          <w:b/>
        </w:rPr>
        <w:t>2</w:t>
      </w:r>
      <w:r w:rsidRPr="00291EFB">
        <w:rPr>
          <w:b/>
        </w:rPr>
        <w:t xml:space="preserve"> – </w:t>
      </w:r>
      <w:r w:rsidRPr="00291EFB">
        <w:t>(1) Bu Usul ve Esasları, Yükseköğretim Kurulu Başkanı yürütür.</w:t>
      </w:r>
      <w:r w:rsidRPr="002D76E3">
        <w:t xml:space="preserve">   </w:t>
      </w:r>
    </w:p>
    <w:sectPr w:rsidR="00D42983" w:rsidRPr="002D76E3" w:rsidSect="00F535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3C2C"/>
    <w:multiLevelType w:val="hybridMultilevel"/>
    <w:tmpl w:val="FAB69B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DFE1A99"/>
    <w:multiLevelType w:val="hybridMultilevel"/>
    <w:tmpl w:val="BC2A16EA"/>
    <w:lvl w:ilvl="0" w:tplc="F0B85290">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77"/>
    <w:rsid w:val="00023E74"/>
    <w:rsid w:val="00023FA8"/>
    <w:rsid w:val="00031524"/>
    <w:rsid w:val="000413DC"/>
    <w:rsid w:val="00084FC3"/>
    <w:rsid w:val="000866A7"/>
    <w:rsid w:val="000A4EC7"/>
    <w:rsid w:val="000A6989"/>
    <w:rsid w:val="000A76F5"/>
    <w:rsid w:val="000D0341"/>
    <w:rsid w:val="000E54FB"/>
    <w:rsid w:val="000E6AB7"/>
    <w:rsid w:val="000F02A3"/>
    <w:rsid w:val="00113509"/>
    <w:rsid w:val="0013013E"/>
    <w:rsid w:val="00137400"/>
    <w:rsid w:val="001607E4"/>
    <w:rsid w:val="0016761A"/>
    <w:rsid w:val="00180CBF"/>
    <w:rsid w:val="001831CC"/>
    <w:rsid w:val="0019309F"/>
    <w:rsid w:val="001C40E9"/>
    <w:rsid w:val="001E64F5"/>
    <w:rsid w:val="00215586"/>
    <w:rsid w:val="00225002"/>
    <w:rsid w:val="00242DB0"/>
    <w:rsid w:val="002458D4"/>
    <w:rsid w:val="00250DE8"/>
    <w:rsid w:val="0025139F"/>
    <w:rsid w:val="00252F71"/>
    <w:rsid w:val="00262B60"/>
    <w:rsid w:val="00272FC5"/>
    <w:rsid w:val="00282742"/>
    <w:rsid w:val="00283A60"/>
    <w:rsid w:val="00285384"/>
    <w:rsid w:val="00291EFB"/>
    <w:rsid w:val="002C58FE"/>
    <w:rsid w:val="002C6FD2"/>
    <w:rsid w:val="002D76E3"/>
    <w:rsid w:val="002F4B82"/>
    <w:rsid w:val="002F7EAA"/>
    <w:rsid w:val="00315385"/>
    <w:rsid w:val="00335A71"/>
    <w:rsid w:val="00343842"/>
    <w:rsid w:val="00343E45"/>
    <w:rsid w:val="00347ECE"/>
    <w:rsid w:val="0037653B"/>
    <w:rsid w:val="0038346A"/>
    <w:rsid w:val="00395977"/>
    <w:rsid w:val="003B0843"/>
    <w:rsid w:val="003B18DF"/>
    <w:rsid w:val="004209B8"/>
    <w:rsid w:val="004406C6"/>
    <w:rsid w:val="00453BE6"/>
    <w:rsid w:val="00461F23"/>
    <w:rsid w:val="004641BB"/>
    <w:rsid w:val="004B68CF"/>
    <w:rsid w:val="004C18DA"/>
    <w:rsid w:val="004C45A8"/>
    <w:rsid w:val="004D12DC"/>
    <w:rsid w:val="004D7477"/>
    <w:rsid w:val="004F3906"/>
    <w:rsid w:val="00505E57"/>
    <w:rsid w:val="0051323B"/>
    <w:rsid w:val="00533500"/>
    <w:rsid w:val="00541AB1"/>
    <w:rsid w:val="0055427F"/>
    <w:rsid w:val="005650AA"/>
    <w:rsid w:val="00576B5B"/>
    <w:rsid w:val="00583D1E"/>
    <w:rsid w:val="00587E13"/>
    <w:rsid w:val="0059071D"/>
    <w:rsid w:val="005A0744"/>
    <w:rsid w:val="005A3718"/>
    <w:rsid w:val="005B1C96"/>
    <w:rsid w:val="005C090A"/>
    <w:rsid w:val="005C177E"/>
    <w:rsid w:val="005D1E6A"/>
    <w:rsid w:val="005E7A4C"/>
    <w:rsid w:val="005F2919"/>
    <w:rsid w:val="005F71B9"/>
    <w:rsid w:val="00604EB6"/>
    <w:rsid w:val="00607564"/>
    <w:rsid w:val="006272FC"/>
    <w:rsid w:val="00645994"/>
    <w:rsid w:val="00650C0C"/>
    <w:rsid w:val="00654928"/>
    <w:rsid w:val="00660DCE"/>
    <w:rsid w:val="00691264"/>
    <w:rsid w:val="00691EE7"/>
    <w:rsid w:val="0069357F"/>
    <w:rsid w:val="006954FB"/>
    <w:rsid w:val="006A19E3"/>
    <w:rsid w:val="006B2754"/>
    <w:rsid w:val="006B5578"/>
    <w:rsid w:val="006C53AF"/>
    <w:rsid w:val="006D166C"/>
    <w:rsid w:val="006D5213"/>
    <w:rsid w:val="006E4525"/>
    <w:rsid w:val="007016F7"/>
    <w:rsid w:val="00706005"/>
    <w:rsid w:val="00715138"/>
    <w:rsid w:val="0072316D"/>
    <w:rsid w:val="00741E2F"/>
    <w:rsid w:val="00757B81"/>
    <w:rsid w:val="00772288"/>
    <w:rsid w:val="0079059E"/>
    <w:rsid w:val="007978F7"/>
    <w:rsid w:val="007A5DE4"/>
    <w:rsid w:val="007C5FAD"/>
    <w:rsid w:val="007C6B00"/>
    <w:rsid w:val="008112CD"/>
    <w:rsid w:val="00825DD3"/>
    <w:rsid w:val="00834798"/>
    <w:rsid w:val="00834945"/>
    <w:rsid w:val="00870A53"/>
    <w:rsid w:val="00872C16"/>
    <w:rsid w:val="00892B53"/>
    <w:rsid w:val="00897596"/>
    <w:rsid w:val="008B24C9"/>
    <w:rsid w:val="008B4F40"/>
    <w:rsid w:val="008F068B"/>
    <w:rsid w:val="008F3349"/>
    <w:rsid w:val="008F4D0D"/>
    <w:rsid w:val="00914B5E"/>
    <w:rsid w:val="00914B79"/>
    <w:rsid w:val="00956029"/>
    <w:rsid w:val="0097018B"/>
    <w:rsid w:val="0098144B"/>
    <w:rsid w:val="009931C8"/>
    <w:rsid w:val="00997789"/>
    <w:rsid w:val="009A4666"/>
    <w:rsid w:val="009A6299"/>
    <w:rsid w:val="009A75A7"/>
    <w:rsid w:val="009A78A2"/>
    <w:rsid w:val="00A0173A"/>
    <w:rsid w:val="00A040EC"/>
    <w:rsid w:val="00A06D1F"/>
    <w:rsid w:val="00A1046F"/>
    <w:rsid w:val="00A275DC"/>
    <w:rsid w:val="00A507F5"/>
    <w:rsid w:val="00A52F4A"/>
    <w:rsid w:val="00A6371B"/>
    <w:rsid w:val="00A77405"/>
    <w:rsid w:val="00A85FC7"/>
    <w:rsid w:val="00AA1FD7"/>
    <w:rsid w:val="00AB074F"/>
    <w:rsid w:val="00AE7FA6"/>
    <w:rsid w:val="00B02646"/>
    <w:rsid w:val="00B1570A"/>
    <w:rsid w:val="00B327FF"/>
    <w:rsid w:val="00B51886"/>
    <w:rsid w:val="00B70BC6"/>
    <w:rsid w:val="00B84AA2"/>
    <w:rsid w:val="00B861C8"/>
    <w:rsid w:val="00B86B36"/>
    <w:rsid w:val="00BA6562"/>
    <w:rsid w:val="00BB464D"/>
    <w:rsid w:val="00BD124D"/>
    <w:rsid w:val="00BE70CD"/>
    <w:rsid w:val="00C02C1F"/>
    <w:rsid w:val="00C21BD1"/>
    <w:rsid w:val="00C27DAA"/>
    <w:rsid w:val="00C420A1"/>
    <w:rsid w:val="00C42E19"/>
    <w:rsid w:val="00C444AB"/>
    <w:rsid w:val="00C71775"/>
    <w:rsid w:val="00C76002"/>
    <w:rsid w:val="00CA5314"/>
    <w:rsid w:val="00CB098B"/>
    <w:rsid w:val="00CC18C2"/>
    <w:rsid w:val="00CC4B32"/>
    <w:rsid w:val="00CE1C64"/>
    <w:rsid w:val="00CE2773"/>
    <w:rsid w:val="00D05120"/>
    <w:rsid w:val="00D104AA"/>
    <w:rsid w:val="00D25B03"/>
    <w:rsid w:val="00D42452"/>
    <w:rsid w:val="00D42983"/>
    <w:rsid w:val="00D65F3F"/>
    <w:rsid w:val="00D728BF"/>
    <w:rsid w:val="00D83E4A"/>
    <w:rsid w:val="00D92D88"/>
    <w:rsid w:val="00DC3489"/>
    <w:rsid w:val="00DD6FED"/>
    <w:rsid w:val="00DD7B7B"/>
    <w:rsid w:val="00E01066"/>
    <w:rsid w:val="00E06152"/>
    <w:rsid w:val="00E11EA1"/>
    <w:rsid w:val="00E2798E"/>
    <w:rsid w:val="00E37A9E"/>
    <w:rsid w:val="00E4538A"/>
    <w:rsid w:val="00E5013F"/>
    <w:rsid w:val="00E57361"/>
    <w:rsid w:val="00E97173"/>
    <w:rsid w:val="00EC322D"/>
    <w:rsid w:val="00ED6C00"/>
    <w:rsid w:val="00EE70CA"/>
    <w:rsid w:val="00EF5A0A"/>
    <w:rsid w:val="00EF5A63"/>
    <w:rsid w:val="00EF7BE9"/>
    <w:rsid w:val="00F02839"/>
    <w:rsid w:val="00F167F9"/>
    <w:rsid w:val="00F47BF8"/>
    <w:rsid w:val="00F535BF"/>
    <w:rsid w:val="00F57DB9"/>
    <w:rsid w:val="00F72BF5"/>
    <w:rsid w:val="00F80831"/>
    <w:rsid w:val="00FA34E2"/>
    <w:rsid w:val="00FB0C7E"/>
    <w:rsid w:val="00FB1B35"/>
    <w:rsid w:val="00FC3D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17F9C"/>
  <w15:docId w15:val="{EFCA44D3-1B2E-4CCD-921C-4BD8AE46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97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F167F9"/>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95977"/>
    <w:pPr>
      <w:ind w:left="720"/>
      <w:contextualSpacing/>
    </w:pPr>
  </w:style>
  <w:style w:type="character" w:styleId="AklamaBavurusu">
    <w:name w:val="annotation reference"/>
    <w:basedOn w:val="VarsaylanParagrafYazTipi"/>
    <w:uiPriority w:val="99"/>
    <w:semiHidden/>
    <w:unhideWhenUsed/>
    <w:rsid w:val="00252F71"/>
    <w:rPr>
      <w:sz w:val="16"/>
      <w:szCs w:val="16"/>
    </w:rPr>
  </w:style>
  <w:style w:type="paragraph" w:styleId="AklamaMetni">
    <w:name w:val="annotation text"/>
    <w:basedOn w:val="Normal"/>
    <w:link w:val="AklamaMetniChar"/>
    <w:uiPriority w:val="99"/>
    <w:semiHidden/>
    <w:unhideWhenUsed/>
    <w:rsid w:val="00252F71"/>
    <w:rPr>
      <w:sz w:val="20"/>
      <w:szCs w:val="20"/>
    </w:rPr>
  </w:style>
  <w:style w:type="character" w:customStyle="1" w:styleId="AklamaMetniChar">
    <w:name w:val="Açıklama Metni Char"/>
    <w:basedOn w:val="VarsaylanParagrafYazTipi"/>
    <w:link w:val="AklamaMetni"/>
    <w:uiPriority w:val="99"/>
    <w:semiHidden/>
    <w:rsid w:val="00252F7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52F71"/>
    <w:rPr>
      <w:b/>
      <w:bCs/>
    </w:rPr>
  </w:style>
  <w:style w:type="character" w:customStyle="1" w:styleId="AklamaKonusuChar">
    <w:name w:val="Açıklama Konusu Char"/>
    <w:basedOn w:val="AklamaMetniChar"/>
    <w:link w:val="AklamaKonusu"/>
    <w:uiPriority w:val="99"/>
    <w:semiHidden/>
    <w:rsid w:val="00252F71"/>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52F7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2F71"/>
    <w:rPr>
      <w:rFonts w:ascii="Segoe UI" w:eastAsia="Times New Roman" w:hAnsi="Segoe UI" w:cs="Segoe UI"/>
      <w:sz w:val="18"/>
      <w:szCs w:val="18"/>
      <w:lang w:eastAsia="tr-TR"/>
    </w:rPr>
  </w:style>
  <w:style w:type="character" w:styleId="Gl">
    <w:name w:val="Strong"/>
    <w:basedOn w:val="VarsaylanParagrafYazTipi"/>
    <w:uiPriority w:val="22"/>
    <w:qFormat/>
    <w:rsid w:val="00F167F9"/>
    <w:rPr>
      <w:b/>
      <w:bCs/>
    </w:rPr>
  </w:style>
  <w:style w:type="character" w:customStyle="1" w:styleId="Balk2Char">
    <w:name w:val="Başlık 2 Char"/>
    <w:basedOn w:val="VarsaylanParagrafYazTipi"/>
    <w:link w:val="Balk2"/>
    <w:uiPriority w:val="9"/>
    <w:rsid w:val="00F167F9"/>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84466">
      <w:bodyDiv w:val="1"/>
      <w:marLeft w:val="0"/>
      <w:marRight w:val="0"/>
      <w:marTop w:val="0"/>
      <w:marBottom w:val="0"/>
      <w:divBdr>
        <w:top w:val="none" w:sz="0" w:space="0" w:color="auto"/>
        <w:left w:val="none" w:sz="0" w:space="0" w:color="auto"/>
        <w:bottom w:val="none" w:sz="0" w:space="0" w:color="auto"/>
        <w:right w:val="none" w:sz="0" w:space="0" w:color="auto"/>
      </w:divBdr>
    </w:div>
    <w:div w:id="19535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1918</Words>
  <Characters>10934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hasan.mandal</dc:creator>
  <cp:lastModifiedBy>Nadiye AKSAKAL</cp:lastModifiedBy>
  <cp:revision>31</cp:revision>
  <cp:lastPrinted>2019-03-14T06:05:00Z</cp:lastPrinted>
  <dcterms:created xsi:type="dcterms:W3CDTF">2025-08-14T11:13:00Z</dcterms:created>
  <dcterms:modified xsi:type="dcterms:W3CDTF">2025-08-14T11:58:00Z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1638fb25ae262634a8f107de37d4cdfbf432cba3bd2d0ed18389782b29fb0ec7</vt:lpwstr>
  </property>
</Properties>
</file>